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C00F" w14:textId="77777777" w:rsidR="00EA2C73" w:rsidRDefault="00EA2C73" w:rsidP="00580F77">
      <w:pPr>
        <w:spacing w:after="0" w:line="240" w:lineRule="auto"/>
        <w:rPr>
          <w:rFonts w:cstheme="minorHAnsi"/>
          <w:b/>
          <w:bCs/>
          <w:color w:val="003F85"/>
          <w:lang w:val="ro-RO"/>
        </w:rPr>
      </w:pPr>
      <w:bookmarkStart w:id="0" w:name="_Hlk55904227"/>
    </w:p>
    <w:p w14:paraId="7C51AFA2" w14:textId="77777777" w:rsidR="00580F77" w:rsidRPr="005C38B2" w:rsidRDefault="00580F77" w:rsidP="00580F77">
      <w:pPr>
        <w:tabs>
          <w:tab w:val="center" w:pos="4513"/>
        </w:tabs>
        <w:jc w:val="center"/>
        <w:rPr>
          <w:b/>
          <w:bCs/>
          <w:sz w:val="28"/>
          <w:szCs w:val="28"/>
          <w:lang w:val="ro-MD"/>
        </w:rPr>
      </w:pPr>
      <w:bookmarkStart w:id="1" w:name="_Hlk57818502"/>
      <w:r w:rsidRPr="005C38B2">
        <w:rPr>
          <w:b/>
          <w:bCs/>
          <w:color w:val="FFFFFF" w:themeColor="background1"/>
          <w:sz w:val="28"/>
          <w:szCs w:val="28"/>
          <w:shd w:val="clear" w:color="auto" w:fill="002060"/>
          <w:lang w:val="ro-MD"/>
        </w:rPr>
        <w:t xml:space="preserve">CONTRACT DE PRESTĂRI SERVICII </w:t>
      </w:r>
    </w:p>
    <w:p w14:paraId="1B166E2B" w14:textId="77777777" w:rsidR="00580F77" w:rsidRPr="005C38B2" w:rsidRDefault="00580F77" w:rsidP="00580F77">
      <w:pPr>
        <w:ind w:hanging="2"/>
        <w:jc w:val="center"/>
        <w:rPr>
          <w:b/>
          <w:bCs/>
          <w:lang w:val="ro-MD"/>
        </w:rPr>
      </w:pPr>
      <w:r w:rsidRPr="005C38B2">
        <w:rPr>
          <w:b/>
          <w:bCs/>
          <w:lang w:val="ro-MD"/>
        </w:rPr>
        <w:t>NR:  ..../data......</w:t>
      </w:r>
    </w:p>
    <w:p w14:paraId="78FAF98A" w14:textId="059AB4CA" w:rsidR="00580F77" w:rsidRPr="005C38B2" w:rsidRDefault="00580F77" w:rsidP="00580F77">
      <w:pPr>
        <w:ind w:hanging="2"/>
        <w:rPr>
          <w:b/>
          <w:bCs/>
          <w:lang w:val="ro-MD"/>
        </w:rPr>
      </w:pPr>
      <w:r w:rsidRPr="005C38B2">
        <w:rPr>
          <w:b/>
          <w:bCs/>
          <w:lang w:val="ro-MD"/>
        </w:rPr>
        <w:t>PREAMBUL</w:t>
      </w:r>
    </w:p>
    <w:p w14:paraId="4F442402" w14:textId="47FD3915" w:rsidR="00580F77" w:rsidRPr="005C38B2" w:rsidRDefault="00580F77" w:rsidP="00580F77">
      <w:pPr>
        <w:spacing w:after="0" w:line="240" w:lineRule="auto"/>
        <w:ind w:hanging="2"/>
        <w:jc w:val="both"/>
        <w:rPr>
          <w:lang w:val="ro-MD"/>
        </w:rPr>
      </w:pPr>
      <w:r w:rsidRPr="005C38B2">
        <w:rPr>
          <w:lang w:val="ro-MD"/>
        </w:rPr>
        <w:t xml:space="preserve">In temeiul contractului finanțat în cadrul proiectului </w:t>
      </w:r>
      <w:r w:rsidRPr="005C38B2">
        <w:rPr>
          <w:rFonts w:asciiTheme="majorHAnsi" w:hAnsiTheme="majorHAnsi" w:cstheme="minorHAnsi"/>
          <w:b/>
          <w:bCs/>
          <w:lang w:val="ro-RO"/>
        </w:rPr>
        <w:t>„</w:t>
      </w:r>
      <w:r w:rsidRPr="005C38B2">
        <w:rPr>
          <w:rFonts w:eastAsia="Times New Roman" w:cstheme="minorHAnsi"/>
          <w:lang w:val="ro-RO"/>
        </w:rPr>
        <w:t>Parteneriat transfrontalier pentru ghidarea în carieră incluzivă</w:t>
      </w:r>
      <w:r w:rsidRPr="005C38B2">
        <w:rPr>
          <w:rFonts w:asciiTheme="majorHAnsi" w:hAnsiTheme="majorHAnsi" w:cstheme="minorHAnsi"/>
          <w:b/>
          <w:bCs/>
          <w:lang w:val="ro-RO"/>
        </w:rPr>
        <w:t>”,</w:t>
      </w:r>
      <w:r w:rsidRPr="005C38B2">
        <w:rPr>
          <w:rFonts w:asciiTheme="majorHAnsi" w:hAnsiTheme="majorHAnsi" w:cstheme="minorHAnsi"/>
          <w:lang w:val="ro-RO"/>
        </w:rPr>
        <w:t xml:space="preserve"> nr. </w:t>
      </w:r>
      <w:r w:rsidRPr="005C38B2">
        <w:rPr>
          <w:rFonts w:cstheme="minorHAnsi"/>
          <w:lang w:val="ro-RO"/>
        </w:rPr>
        <w:t xml:space="preserve">2SOFT/1.1/145, finanțat de către Uniunea Europeană </w:t>
      </w:r>
      <w:r w:rsidRPr="005C38B2">
        <w:rPr>
          <w:rFonts w:eastAsia="Times New Roman" w:cstheme="minorHAnsi"/>
          <w:lang w:val="ro-RO"/>
        </w:rPr>
        <w:t>în cadrul Programului Operațional Comun România-Republica Moldova 2014-2020, prin intermediul Instrumentului European de Vecinătate (ENI)</w:t>
      </w:r>
      <w:r w:rsidRPr="005C38B2">
        <w:rPr>
          <w:lang w:val="ro-MD"/>
        </w:rPr>
        <w:t>, s-a încheiat prezentul contract de prestări servicii, astfel:</w:t>
      </w:r>
    </w:p>
    <w:p w14:paraId="04264AC1" w14:textId="77777777" w:rsidR="00580F77" w:rsidRPr="005C38B2" w:rsidRDefault="00580F77" w:rsidP="00580F77">
      <w:pPr>
        <w:spacing w:after="0" w:line="240" w:lineRule="auto"/>
        <w:ind w:hanging="2"/>
        <w:jc w:val="both"/>
        <w:rPr>
          <w:lang w:val="ro-MD"/>
        </w:rPr>
      </w:pPr>
    </w:p>
    <w:p w14:paraId="4C0E826A" w14:textId="77777777" w:rsidR="00580F77" w:rsidRPr="005C38B2" w:rsidRDefault="00580F77" w:rsidP="00580F77">
      <w:pPr>
        <w:spacing w:after="0" w:line="240" w:lineRule="auto"/>
        <w:ind w:hanging="2"/>
        <w:jc w:val="both"/>
        <w:rPr>
          <w:b/>
          <w:bCs/>
          <w:lang w:val="ro-MD"/>
        </w:rPr>
      </w:pPr>
      <w:r w:rsidRPr="005C38B2">
        <w:rPr>
          <w:b/>
          <w:bCs/>
          <w:lang w:val="ro-MD"/>
        </w:rPr>
        <w:t>Art.1.Părţile contractante</w:t>
      </w:r>
    </w:p>
    <w:p w14:paraId="63ADEE1A" w14:textId="28B93FD0" w:rsidR="00580F77" w:rsidRPr="005C38B2" w:rsidRDefault="00863BEB" w:rsidP="00580F77">
      <w:pPr>
        <w:spacing w:after="0" w:line="240" w:lineRule="auto"/>
        <w:ind w:hanging="2"/>
        <w:jc w:val="both"/>
        <w:rPr>
          <w:lang w:val="ro-MD"/>
        </w:rPr>
      </w:pPr>
      <w:r w:rsidRPr="005C38B2">
        <w:rPr>
          <w:b/>
          <w:bCs/>
          <w:color w:val="000000" w:themeColor="text1"/>
          <w:lang w:val="ro-MD"/>
        </w:rPr>
        <w:t>Asociația Obștească Keystone Human Services International Moldova</w:t>
      </w:r>
      <w:r w:rsidR="002230D3" w:rsidRPr="005C38B2">
        <w:rPr>
          <w:b/>
          <w:bCs/>
          <w:color w:val="000000" w:themeColor="text1"/>
          <w:lang w:val="ro-MD"/>
        </w:rPr>
        <w:t xml:space="preserve"> (în continuare A.O. Keystone Moldova)</w:t>
      </w:r>
      <w:r w:rsidRPr="005C38B2">
        <w:rPr>
          <w:bCs/>
          <w:color w:val="000000" w:themeColor="text1"/>
          <w:lang w:val="ro-MD"/>
        </w:rPr>
        <w:t xml:space="preserve"> înregistrată la Ministerul Justiției RM la 23 iunie 2004 cu numărul 3040,</w:t>
      </w:r>
      <w:r w:rsidRPr="005C38B2">
        <w:rPr>
          <w:color w:val="000000" w:themeColor="text1"/>
          <w:lang w:val="ro-MD"/>
        </w:rPr>
        <w:t xml:space="preserve"> </w:t>
      </w:r>
      <w:proofErr w:type="spellStart"/>
      <w:r w:rsidRPr="005C38B2">
        <w:rPr>
          <w:color w:val="000000" w:themeColor="text1"/>
          <w:lang w:val="ro-MD"/>
        </w:rPr>
        <w:t>ȋn</w:t>
      </w:r>
      <w:proofErr w:type="spellEnd"/>
      <w:r w:rsidRPr="005C38B2">
        <w:rPr>
          <w:color w:val="000000" w:themeColor="text1"/>
          <w:lang w:val="ro-MD"/>
        </w:rPr>
        <w:t xml:space="preserve"> persoana Directorului Executiv, Dna Malcoci Ludmila, care activează </w:t>
      </w:r>
      <w:proofErr w:type="spellStart"/>
      <w:r w:rsidRPr="005C38B2">
        <w:rPr>
          <w:color w:val="000000" w:themeColor="text1"/>
          <w:lang w:val="ro-MD"/>
        </w:rPr>
        <w:t>ȋn</w:t>
      </w:r>
      <w:proofErr w:type="spellEnd"/>
      <w:r w:rsidRPr="005C38B2">
        <w:rPr>
          <w:color w:val="000000" w:themeColor="text1"/>
          <w:lang w:val="ro-MD"/>
        </w:rPr>
        <w:t xml:space="preserve"> baza Statutului, numită </w:t>
      </w:r>
      <w:proofErr w:type="spellStart"/>
      <w:r w:rsidRPr="005C38B2">
        <w:rPr>
          <w:color w:val="000000" w:themeColor="text1"/>
          <w:lang w:val="ro-MD"/>
        </w:rPr>
        <w:t>ȋn</w:t>
      </w:r>
      <w:proofErr w:type="spellEnd"/>
      <w:r w:rsidRPr="005C38B2">
        <w:rPr>
          <w:color w:val="000000" w:themeColor="text1"/>
          <w:lang w:val="ro-MD"/>
        </w:rPr>
        <w:t xml:space="preserve"> continuare </w:t>
      </w:r>
      <w:r w:rsidR="00580F77" w:rsidRPr="005C38B2">
        <w:rPr>
          <w:b/>
          <w:bCs/>
          <w:lang w:val="ro-MD"/>
        </w:rPr>
        <w:t>Beneficiar</w:t>
      </w:r>
      <w:r w:rsidR="00580F77" w:rsidRPr="005C38B2">
        <w:rPr>
          <w:lang w:val="ro-MD"/>
        </w:rPr>
        <w:t xml:space="preserve">, pe de o parte, </w:t>
      </w:r>
    </w:p>
    <w:p w14:paraId="2294543B" w14:textId="77777777" w:rsidR="00580F77" w:rsidRPr="005C38B2" w:rsidRDefault="00580F77" w:rsidP="00580F77">
      <w:pPr>
        <w:spacing w:after="0" w:line="240" w:lineRule="auto"/>
        <w:ind w:hanging="2"/>
        <w:jc w:val="both"/>
        <w:rPr>
          <w:lang w:val="ro-MD"/>
        </w:rPr>
      </w:pPr>
    </w:p>
    <w:p w14:paraId="2F702DC8" w14:textId="77777777" w:rsidR="00580F77" w:rsidRPr="005C38B2" w:rsidRDefault="00580F77" w:rsidP="00580F77">
      <w:pPr>
        <w:spacing w:after="0" w:line="240" w:lineRule="auto"/>
        <w:ind w:hanging="2"/>
        <w:jc w:val="both"/>
        <w:rPr>
          <w:lang w:val="ro-MD"/>
        </w:rPr>
      </w:pPr>
      <w:r w:rsidRPr="005C38B2">
        <w:rPr>
          <w:lang w:val="ro-MD"/>
        </w:rPr>
        <w:t>Și</w:t>
      </w:r>
    </w:p>
    <w:p w14:paraId="7D991D08" w14:textId="15017B29" w:rsidR="00580F77" w:rsidRPr="005C38B2" w:rsidRDefault="00580F77" w:rsidP="00580F77">
      <w:pPr>
        <w:spacing w:after="0" w:line="240" w:lineRule="auto"/>
        <w:ind w:hanging="2"/>
        <w:jc w:val="both"/>
        <w:rPr>
          <w:lang w:val="ro-MD"/>
        </w:rPr>
      </w:pPr>
      <w:r w:rsidRPr="005C38B2">
        <w:rPr>
          <w:lang w:val="ro-MD"/>
        </w:rPr>
        <w:t xml:space="preserve">.................................................. , cu sediul în .................., , str. .................. nr. ........, bl........, sc. ......, et. ......., ap. ............, tel: .........................., e-mail: ........................................,,  înregistrată la </w:t>
      </w:r>
      <w:r w:rsidR="00472328" w:rsidRPr="005C38B2">
        <w:rPr>
          <w:lang w:val="ro-MD"/>
        </w:rPr>
        <w:t xml:space="preserve"> ……….. </w:t>
      </w:r>
      <w:r w:rsidRPr="005C38B2">
        <w:rPr>
          <w:lang w:val="ro-MD"/>
        </w:rPr>
        <w:t>cu număr</w:t>
      </w:r>
      <w:r w:rsidR="00472328" w:rsidRPr="005C38B2">
        <w:rPr>
          <w:lang w:val="ro-MD"/>
        </w:rPr>
        <w:t>ul</w:t>
      </w:r>
      <w:r w:rsidRPr="005C38B2">
        <w:rPr>
          <w:lang w:val="ro-MD"/>
        </w:rPr>
        <w:t xml:space="preserve">.........................., reprezentată prin ...............................,, reprezentant legal, în calitate de </w:t>
      </w:r>
      <w:r w:rsidRPr="005C38B2">
        <w:rPr>
          <w:b/>
          <w:bCs/>
          <w:lang w:val="ro-MD"/>
        </w:rPr>
        <w:t>Prestator,</w:t>
      </w:r>
      <w:r w:rsidRPr="005C38B2">
        <w:rPr>
          <w:lang w:val="ro-MD"/>
        </w:rPr>
        <w:t xml:space="preserve"> pe de altă parte.</w:t>
      </w:r>
    </w:p>
    <w:p w14:paraId="75FBB1C4" w14:textId="77777777" w:rsidR="00580F77" w:rsidRPr="005C38B2" w:rsidRDefault="00580F77" w:rsidP="00580F77">
      <w:pPr>
        <w:spacing w:after="0" w:line="240" w:lineRule="auto"/>
        <w:ind w:hanging="2"/>
        <w:jc w:val="both"/>
        <w:rPr>
          <w:b/>
          <w:bCs/>
          <w:lang w:val="ro-MD"/>
        </w:rPr>
      </w:pPr>
    </w:p>
    <w:p w14:paraId="53DFA1C4" w14:textId="77777777" w:rsidR="00580F77" w:rsidRPr="005C38B2" w:rsidRDefault="00580F77" w:rsidP="00580F77">
      <w:pPr>
        <w:spacing w:after="0" w:line="240" w:lineRule="auto"/>
        <w:ind w:hanging="2"/>
        <w:jc w:val="both"/>
        <w:rPr>
          <w:b/>
          <w:bCs/>
          <w:lang w:val="ro-MD"/>
        </w:rPr>
      </w:pPr>
      <w:r w:rsidRPr="005C38B2">
        <w:rPr>
          <w:b/>
          <w:bCs/>
          <w:lang w:val="ro-MD"/>
        </w:rPr>
        <w:t xml:space="preserve">Art.2. Definiții </w:t>
      </w:r>
    </w:p>
    <w:p w14:paraId="454DB5E4" w14:textId="77777777" w:rsidR="00580F77" w:rsidRPr="005C38B2" w:rsidRDefault="00580F77" w:rsidP="00580F77">
      <w:pPr>
        <w:spacing w:after="0" w:line="240" w:lineRule="auto"/>
        <w:ind w:hanging="2"/>
        <w:jc w:val="both"/>
        <w:rPr>
          <w:lang w:val="ro-MD"/>
        </w:rPr>
      </w:pPr>
      <w:r w:rsidRPr="005C38B2">
        <w:rPr>
          <w:lang w:val="ro-MD"/>
        </w:rPr>
        <w:t>2.1 - În prezentul contract următorii termeni vor fi interpretați astfel:</w:t>
      </w:r>
    </w:p>
    <w:p w14:paraId="5147D5ED" w14:textId="77777777" w:rsidR="00580F77" w:rsidRPr="005C38B2" w:rsidRDefault="00580F77" w:rsidP="00580F77">
      <w:pPr>
        <w:spacing w:after="0" w:line="240" w:lineRule="auto"/>
        <w:ind w:hanging="2"/>
        <w:jc w:val="both"/>
        <w:rPr>
          <w:lang w:val="ro-MD"/>
        </w:rPr>
      </w:pPr>
      <w:r w:rsidRPr="005C38B2">
        <w:rPr>
          <w:lang w:val="ro-MD"/>
        </w:rPr>
        <w:t xml:space="preserve">a. contract - prezentul contract și toate anexele sale; </w:t>
      </w:r>
    </w:p>
    <w:p w14:paraId="4BE6C6BB" w14:textId="74DE85F2" w:rsidR="00580F77" w:rsidRPr="005C38B2" w:rsidRDefault="00580F77" w:rsidP="00580F77">
      <w:pPr>
        <w:spacing w:after="0" w:line="240" w:lineRule="auto"/>
        <w:ind w:hanging="2"/>
        <w:jc w:val="both"/>
        <w:rPr>
          <w:lang w:val="ro-MD"/>
        </w:rPr>
      </w:pPr>
      <w:r w:rsidRPr="005C38B2">
        <w:rPr>
          <w:lang w:val="ro-MD"/>
        </w:rPr>
        <w:t xml:space="preserve">b. beneficiar </w:t>
      </w:r>
      <w:proofErr w:type="spellStart"/>
      <w:r w:rsidRPr="005C38B2">
        <w:rPr>
          <w:lang w:val="ro-MD"/>
        </w:rPr>
        <w:t>şi</w:t>
      </w:r>
      <w:proofErr w:type="spellEnd"/>
      <w:r w:rsidRPr="005C38B2">
        <w:rPr>
          <w:lang w:val="ro-MD"/>
        </w:rPr>
        <w:t xml:space="preserve"> prestator - p</w:t>
      </w:r>
      <w:r w:rsidR="00FD5578" w:rsidRPr="005C38B2">
        <w:rPr>
          <w:lang w:val="ro-MD"/>
        </w:rPr>
        <w:t>ă</w:t>
      </w:r>
      <w:r w:rsidRPr="005C38B2">
        <w:rPr>
          <w:lang w:val="ro-MD"/>
        </w:rPr>
        <w:t xml:space="preserve">rțile contractante, așa cum sunt acestea numite în prezentul contract; </w:t>
      </w:r>
    </w:p>
    <w:p w14:paraId="6F62C168" w14:textId="77777777" w:rsidR="00580F77" w:rsidRPr="005C38B2" w:rsidRDefault="00580F77" w:rsidP="00580F77">
      <w:pPr>
        <w:spacing w:after="0" w:line="240" w:lineRule="auto"/>
        <w:ind w:hanging="2"/>
        <w:jc w:val="both"/>
        <w:rPr>
          <w:lang w:val="ro-MD"/>
        </w:rPr>
      </w:pPr>
      <w:r w:rsidRPr="005C38B2">
        <w:rPr>
          <w:lang w:val="ro-MD"/>
        </w:rPr>
        <w:t xml:space="preserve">c. prețul contractului - prețul plătibil prestatorului de către beneficiar, în baza contractului, pentru îndeplinirea integrală și corespunzătoare a tuturor obligațiilor asumate prin contract; </w:t>
      </w:r>
    </w:p>
    <w:p w14:paraId="3AA2ABF1" w14:textId="0E251D9F" w:rsidR="00580F77" w:rsidRPr="005C38B2" w:rsidRDefault="00580F77" w:rsidP="00580F77">
      <w:pPr>
        <w:spacing w:after="0" w:line="240" w:lineRule="auto"/>
        <w:ind w:hanging="2"/>
        <w:jc w:val="both"/>
        <w:rPr>
          <w:lang w:val="ro-MD"/>
        </w:rPr>
      </w:pPr>
      <w:r w:rsidRPr="005C38B2">
        <w:rPr>
          <w:lang w:val="ro-MD"/>
        </w:rPr>
        <w:t>d. forța majoră - un eveniment mai presus de controlul p</w:t>
      </w:r>
      <w:r w:rsidR="00FD5578" w:rsidRPr="005C38B2">
        <w:rPr>
          <w:lang w:val="ro-MD"/>
        </w:rPr>
        <w:t>ă</w:t>
      </w:r>
      <w:r w:rsidRPr="005C38B2">
        <w:rPr>
          <w:lang w:val="ro-MD"/>
        </w:rPr>
        <w:t xml:space="preserve">rților, care nu se datorează greșelii sau vinei acestora, care nu putea fi prevăzut la momentul încheierii contractului și care face imposibilă executarea </w:t>
      </w:r>
      <w:proofErr w:type="spellStart"/>
      <w:r w:rsidRPr="005C38B2">
        <w:rPr>
          <w:lang w:val="ro-MD"/>
        </w:rPr>
        <w:t>şi</w:t>
      </w:r>
      <w:proofErr w:type="spellEnd"/>
      <w:r w:rsidRPr="005C38B2">
        <w:rPr>
          <w:lang w:val="ro-MD"/>
        </w:rPr>
        <w:t xml:space="preserve">,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w:t>
      </w:r>
      <w:r w:rsidR="00FD5578" w:rsidRPr="005C38B2">
        <w:rPr>
          <w:lang w:val="ro-MD"/>
        </w:rPr>
        <w:t>părți</w:t>
      </w:r>
      <w:r w:rsidRPr="005C38B2">
        <w:rPr>
          <w:lang w:val="ro-MD"/>
        </w:rPr>
        <w:t xml:space="preserve">; </w:t>
      </w:r>
    </w:p>
    <w:p w14:paraId="0DAB0B74" w14:textId="77777777" w:rsidR="00580F77" w:rsidRPr="005C38B2" w:rsidRDefault="00580F77" w:rsidP="00580F77">
      <w:pPr>
        <w:spacing w:after="0" w:line="240" w:lineRule="auto"/>
        <w:ind w:hanging="2"/>
        <w:jc w:val="both"/>
        <w:rPr>
          <w:lang w:val="ro-MD"/>
        </w:rPr>
      </w:pPr>
      <w:r w:rsidRPr="005C38B2">
        <w:rPr>
          <w:lang w:val="ro-MD"/>
        </w:rPr>
        <w:t xml:space="preserve">e. zi - zi calendaristică; an - 365 de zile. </w:t>
      </w:r>
    </w:p>
    <w:p w14:paraId="75E31EE1" w14:textId="77777777" w:rsidR="00580F77" w:rsidRPr="005C38B2" w:rsidRDefault="00580F77" w:rsidP="00580F77">
      <w:pPr>
        <w:spacing w:after="0" w:line="240" w:lineRule="auto"/>
        <w:ind w:hanging="2"/>
        <w:jc w:val="both"/>
        <w:rPr>
          <w:b/>
          <w:bCs/>
          <w:lang w:val="ro-MD"/>
        </w:rPr>
      </w:pPr>
    </w:p>
    <w:p w14:paraId="2524915B" w14:textId="77777777" w:rsidR="00580F77" w:rsidRPr="005C38B2" w:rsidRDefault="00580F77" w:rsidP="00580F77">
      <w:pPr>
        <w:spacing w:after="0" w:line="240" w:lineRule="auto"/>
        <w:ind w:hanging="2"/>
        <w:jc w:val="both"/>
        <w:rPr>
          <w:b/>
          <w:bCs/>
          <w:lang w:val="ro-MD"/>
        </w:rPr>
      </w:pPr>
      <w:r w:rsidRPr="005C38B2">
        <w:rPr>
          <w:b/>
          <w:bCs/>
          <w:lang w:val="ro-MD"/>
        </w:rPr>
        <w:t xml:space="preserve">Art.3. Interpretare </w:t>
      </w:r>
    </w:p>
    <w:p w14:paraId="06E90E07" w14:textId="77777777" w:rsidR="00580F77" w:rsidRPr="005C38B2" w:rsidRDefault="00580F77" w:rsidP="00580F77">
      <w:pPr>
        <w:spacing w:after="0" w:line="240" w:lineRule="auto"/>
        <w:ind w:hanging="2"/>
        <w:jc w:val="both"/>
        <w:rPr>
          <w:lang w:val="ro-MD"/>
        </w:rPr>
      </w:pPr>
      <w:r w:rsidRPr="005C38B2">
        <w:rPr>
          <w:lang w:val="ro-MD"/>
        </w:rPr>
        <w:t xml:space="preserve">3.1 - În prezentul contract, cu excepția unei prevederi contrare, cuvintele la forma singular vor include forma de plural și viceversa, acolo unde acest lucru este permis de context. </w:t>
      </w:r>
    </w:p>
    <w:p w14:paraId="35CBDE56" w14:textId="77777777" w:rsidR="00580F77" w:rsidRPr="005C38B2" w:rsidRDefault="00580F77" w:rsidP="00580F77">
      <w:pPr>
        <w:spacing w:after="0" w:line="240" w:lineRule="auto"/>
        <w:ind w:hanging="2"/>
        <w:jc w:val="both"/>
        <w:rPr>
          <w:lang w:val="ro-MD"/>
        </w:rPr>
      </w:pPr>
      <w:r w:rsidRPr="005C38B2">
        <w:rPr>
          <w:lang w:val="ro-MD"/>
        </w:rPr>
        <w:t xml:space="preserve">3.2 - Termenul "zi" ori "zile" sau orice referire la zile reprezintă zile calendaristice dacă nu se specifică în mod diferit. </w:t>
      </w:r>
    </w:p>
    <w:p w14:paraId="691D6122" w14:textId="77777777" w:rsidR="00580F77" w:rsidRPr="005C38B2" w:rsidRDefault="00580F77" w:rsidP="00580F77">
      <w:pPr>
        <w:spacing w:after="0" w:line="240" w:lineRule="auto"/>
        <w:ind w:hanging="2"/>
        <w:jc w:val="both"/>
        <w:rPr>
          <w:lang w:val="ro-MD"/>
        </w:rPr>
      </w:pPr>
    </w:p>
    <w:p w14:paraId="272431AA" w14:textId="77777777" w:rsidR="00580F77" w:rsidRPr="005C38B2" w:rsidRDefault="00580F77" w:rsidP="00580F77">
      <w:pPr>
        <w:spacing w:after="0" w:line="240" w:lineRule="auto"/>
        <w:ind w:hanging="2"/>
        <w:jc w:val="both"/>
        <w:rPr>
          <w:b/>
          <w:bCs/>
          <w:lang w:val="ro-MD"/>
        </w:rPr>
      </w:pPr>
      <w:r w:rsidRPr="005C38B2">
        <w:rPr>
          <w:b/>
          <w:bCs/>
          <w:lang w:val="ro-MD"/>
        </w:rPr>
        <w:t>Art.4. Obiectul principal al contractului</w:t>
      </w:r>
    </w:p>
    <w:p w14:paraId="32921835" w14:textId="025CE58B" w:rsidR="00580F77" w:rsidRPr="005C38B2" w:rsidRDefault="00580F77" w:rsidP="00580F77">
      <w:pPr>
        <w:spacing w:after="0" w:line="240" w:lineRule="auto"/>
        <w:ind w:hanging="2"/>
        <w:jc w:val="both"/>
        <w:rPr>
          <w:rFonts w:cstheme="minorHAnsi"/>
          <w:lang w:val="ro-MD"/>
        </w:rPr>
      </w:pPr>
      <w:r w:rsidRPr="005C38B2">
        <w:rPr>
          <w:rFonts w:cstheme="minorHAnsi"/>
          <w:lang w:val="ro-MD"/>
        </w:rPr>
        <w:t xml:space="preserve">4.1. Prestatorul se obligă să furnizeze </w:t>
      </w:r>
      <w:r w:rsidRPr="005C38B2">
        <w:rPr>
          <w:rFonts w:cstheme="minorHAnsi"/>
          <w:b/>
          <w:bCs/>
          <w:lang w:val="ro-MD"/>
        </w:rPr>
        <w:t xml:space="preserve">servicii ........................., </w:t>
      </w:r>
      <w:r w:rsidRPr="005C38B2">
        <w:rPr>
          <w:rFonts w:cstheme="minorHAnsi"/>
          <w:lang w:val="ro-MD"/>
        </w:rPr>
        <w:t xml:space="preserve">în cadrul proiectului </w:t>
      </w:r>
      <w:r w:rsidRPr="005C38B2">
        <w:rPr>
          <w:rFonts w:asciiTheme="majorHAnsi" w:hAnsiTheme="majorHAnsi" w:cstheme="minorHAnsi"/>
          <w:b/>
          <w:bCs/>
          <w:lang w:val="ro-RO"/>
        </w:rPr>
        <w:t>„</w:t>
      </w:r>
      <w:r w:rsidRPr="005C38B2">
        <w:rPr>
          <w:rFonts w:eastAsia="Times New Roman" w:cstheme="minorHAnsi"/>
          <w:lang w:val="ro-RO"/>
        </w:rPr>
        <w:t>Parteneriat transfrontalier pentru ghidarea în carieră incluzivă</w:t>
      </w:r>
      <w:r w:rsidRPr="005C38B2">
        <w:rPr>
          <w:rFonts w:asciiTheme="majorHAnsi" w:hAnsiTheme="majorHAnsi" w:cstheme="minorHAnsi"/>
          <w:b/>
          <w:bCs/>
          <w:lang w:val="ro-RO"/>
        </w:rPr>
        <w:t>”,</w:t>
      </w:r>
      <w:r w:rsidRPr="005C38B2">
        <w:rPr>
          <w:rFonts w:asciiTheme="majorHAnsi" w:hAnsiTheme="majorHAnsi" w:cstheme="minorHAnsi"/>
          <w:lang w:val="ro-RO"/>
        </w:rPr>
        <w:t xml:space="preserve"> nr. </w:t>
      </w:r>
      <w:r w:rsidRPr="005C38B2">
        <w:rPr>
          <w:rFonts w:cstheme="minorHAnsi"/>
          <w:lang w:val="ro-RO"/>
        </w:rPr>
        <w:t xml:space="preserve">2SOFT/1.1/145, finanțat de către Uniunea Europeană </w:t>
      </w:r>
      <w:r w:rsidRPr="005C38B2">
        <w:rPr>
          <w:rFonts w:eastAsia="Times New Roman" w:cstheme="minorHAnsi"/>
          <w:lang w:val="ro-RO"/>
        </w:rPr>
        <w:t>în cadrul Programului Operațional Comun România-Republica Moldova 2014-2020, prin intermediul Instrumentului European de Vecinătate (ENI)</w:t>
      </w:r>
      <w:r w:rsidRPr="005C38B2">
        <w:rPr>
          <w:rFonts w:cstheme="minorHAnsi"/>
          <w:lang w:val="ro-MD"/>
        </w:rPr>
        <w:t xml:space="preserve">, conform ofertei </w:t>
      </w:r>
      <w:proofErr w:type="spellStart"/>
      <w:r w:rsidRPr="005C38B2">
        <w:rPr>
          <w:rFonts w:cstheme="minorHAnsi"/>
          <w:lang w:val="ro-MD"/>
        </w:rPr>
        <w:t>tehnico</w:t>
      </w:r>
      <w:proofErr w:type="spellEnd"/>
      <w:r w:rsidRPr="005C38B2">
        <w:rPr>
          <w:rFonts w:cstheme="minorHAnsi"/>
          <w:lang w:val="ro-MD"/>
        </w:rPr>
        <w:t>-financiare parte din contract;</w:t>
      </w:r>
    </w:p>
    <w:p w14:paraId="29B76DBD" w14:textId="77777777" w:rsidR="00580F77" w:rsidRPr="005C38B2" w:rsidRDefault="00580F77" w:rsidP="00580F77">
      <w:pPr>
        <w:spacing w:after="0" w:line="240" w:lineRule="auto"/>
        <w:ind w:hanging="2"/>
        <w:jc w:val="both"/>
        <w:rPr>
          <w:rFonts w:cstheme="minorHAnsi"/>
          <w:lang w:val="ro-MD"/>
        </w:rPr>
      </w:pPr>
      <w:r w:rsidRPr="005C38B2">
        <w:rPr>
          <w:rFonts w:cstheme="minorHAnsi"/>
          <w:lang w:val="ro-MD"/>
        </w:rPr>
        <w:lastRenderedPageBreak/>
        <w:t>4.2. Toate detaliile privind modul de realizare concretă asumate de Prestator a obiectului contractului enunțat la art. 4.1., precum și obligațiile concrete și detaliate asumate de Prestator în vederea realizării obiectului contractului sunt detaliate în cuprinsul documentelor care fac parte din anexă la contract:</w:t>
      </w:r>
    </w:p>
    <w:p w14:paraId="7CF9C63F" w14:textId="77777777" w:rsidR="00580F77" w:rsidRPr="005C38B2" w:rsidRDefault="00580F77" w:rsidP="00580F77">
      <w:pPr>
        <w:pStyle w:val="ListParagraph"/>
        <w:numPr>
          <w:ilvl w:val="0"/>
          <w:numId w:val="6"/>
        </w:numPr>
        <w:suppressAutoHyphens w:val="0"/>
        <w:spacing w:after="0" w:line="240" w:lineRule="auto"/>
        <w:ind w:leftChars="0" w:firstLineChars="0"/>
        <w:jc w:val="both"/>
        <w:textDirection w:val="lrTb"/>
        <w:textAlignment w:val="auto"/>
        <w:outlineLvl w:val="9"/>
        <w:rPr>
          <w:rFonts w:asciiTheme="minorHAnsi" w:hAnsiTheme="minorHAnsi" w:cstheme="minorHAnsi"/>
          <w:lang w:val="ro-MD"/>
        </w:rPr>
      </w:pPr>
      <w:r w:rsidRPr="005C38B2">
        <w:rPr>
          <w:rFonts w:asciiTheme="minorHAnsi" w:hAnsiTheme="minorHAnsi" w:cstheme="minorHAnsi"/>
          <w:lang w:val="ro-MD"/>
        </w:rPr>
        <w:t>Documentația pentru ofertanți pentru atribuirea contractului anexat prezentului contract, asumat de Prestator în cadrul procesului de atribuire;</w:t>
      </w:r>
    </w:p>
    <w:p w14:paraId="15374FE2" w14:textId="77777777" w:rsidR="00580F77" w:rsidRPr="005C38B2" w:rsidRDefault="00580F77" w:rsidP="00580F77">
      <w:pPr>
        <w:pStyle w:val="ListParagraph"/>
        <w:numPr>
          <w:ilvl w:val="0"/>
          <w:numId w:val="6"/>
        </w:numPr>
        <w:suppressAutoHyphens w:val="0"/>
        <w:spacing w:after="0" w:line="240" w:lineRule="auto"/>
        <w:ind w:leftChars="0" w:firstLineChars="0"/>
        <w:jc w:val="both"/>
        <w:textDirection w:val="lrTb"/>
        <w:textAlignment w:val="auto"/>
        <w:outlineLvl w:val="9"/>
        <w:rPr>
          <w:rFonts w:asciiTheme="minorHAnsi" w:hAnsiTheme="minorHAnsi" w:cstheme="minorHAnsi"/>
          <w:lang w:val="ro-MD"/>
        </w:rPr>
      </w:pPr>
      <w:r w:rsidRPr="005C38B2">
        <w:rPr>
          <w:rFonts w:asciiTheme="minorHAnsi" w:hAnsiTheme="minorHAnsi" w:cstheme="minorHAnsi"/>
          <w:lang w:val="ro-MD"/>
        </w:rPr>
        <w:t>Propunerea tehnică și Oferta financiară, depuse de Prestator în cadrul procesului de atribuire.</w:t>
      </w:r>
    </w:p>
    <w:p w14:paraId="06004149" w14:textId="77777777" w:rsidR="00580F77" w:rsidRPr="005C38B2" w:rsidRDefault="00580F77" w:rsidP="00580F77">
      <w:pPr>
        <w:spacing w:after="0" w:line="240" w:lineRule="auto"/>
        <w:ind w:hanging="2"/>
        <w:jc w:val="both"/>
        <w:rPr>
          <w:rFonts w:cstheme="minorHAnsi"/>
          <w:lang w:val="ro-MD"/>
        </w:rPr>
      </w:pPr>
      <w:r w:rsidRPr="005C38B2">
        <w:rPr>
          <w:rFonts w:cstheme="minorHAnsi"/>
          <w:lang w:val="ro-MD"/>
        </w:rPr>
        <w:t>4.3. Prestatorul se obligă să presteze serviciile ofertate conform indicațiilor, în condițiile și conform calendarului activităților prevăzut în documentația de atribuire.</w:t>
      </w:r>
    </w:p>
    <w:p w14:paraId="52D53921" w14:textId="77777777" w:rsidR="00580F77" w:rsidRPr="005C38B2" w:rsidRDefault="00580F77" w:rsidP="00580F77">
      <w:pPr>
        <w:spacing w:after="0" w:line="240" w:lineRule="auto"/>
        <w:ind w:hanging="2"/>
        <w:jc w:val="both"/>
        <w:rPr>
          <w:rFonts w:cstheme="minorHAnsi"/>
          <w:lang w:val="ro-MD"/>
        </w:rPr>
      </w:pPr>
      <w:r w:rsidRPr="005C38B2">
        <w:rPr>
          <w:rFonts w:cstheme="minorHAnsi"/>
          <w:lang w:val="ro-MD"/>
        </w:rPr>
        <w:t>4.4. Beneficiarul se obligă să plătească prețul convenit în prezentul contract pentru serviciile prestate;</w:t>
      </w:r>
    </w:p>
    <w:p w14:paraId="58FD75E3" w14:textId="77777777" w:rsidR="00580F77" w:rsidRPr="005C38B2" w:rsidRDefault="00580F77" w:rsidP="00580F77">
      <w:pPr>
        <w:spacing w:after="0" w:line="240" w:lineRule="auto"/>
        <w:ind w:hanging="2"/>
        <w:jc w:val="both"/>
        <w:rPr>
          <w:rFonts w:cstheme="minorHAnsi"/>
          <w:lang w:val="ro-MD"/>
        </w:rPr>
      </w:pPr>
      <w:r w:rsidRPr="005C38B2">
        <w:rPr>
          <w:rFonts w:cstheme="minorHAnsi"/>
          <w:lang w:val="ro-MD"/>
        </w:rPr>
        <w:t>4.5. Serviciile vor fi furnizate cu respectarea termenelor de livrare descrise în procedură.</w:t>
      </w:r>
    </w:p>
    <w:p w14:paraId="0EA06993" w14:textId="77777777" w:rsidR="00580F77" w:rsidRPr="005C38B2" w:rsidRDefault="00580F77" w:rsidP="00580F77">
      <w:pPr>
        <w:spacing w:after="0" w:line="240" w:lineRule="auto"/>
        <w:ind w:hanging="2"/>
        <w:jc w:val="both"/>
        <w:rPr>
          <w:b/>
          <w:bCs/>
          <w:lang w:val="ro-MD"/>
        </w:rPr>
      </w:pPr>
    </w:p>
    <w:p w14:paraId="3AFED34A" w14:textId="77777777" w:rsidR="00580F77" w:rsidRPr="005C38B2" w:rsidRDefault="00580F77" w:rsidP="00580F77">
      <w:pPr>
        <w:spacing w:after="0" w:line="240" w:lineRule="auto"/>
        <w:ind w:hanging="2"/>
        <w:jc w:val="both"/>
        <w:rPr>
          <w:b/>
          <w:bCs/>
          <w:lang w:val="ro-MD"/>
        </w:rPr>
      </w:pPr>
      <w:r w:rsidRPr="005C38B2">
        <w:rPr>
          <w:b/>
          <w:bCs/>
          <w:lang w:val="ro-MD"/>
        </w:rPr>
        <w:t>Art.5.</w:t>
      </w:r>
      <w:r w:rsidRPr="005C38B2">
        <w:rPr>
          <w:lang w:val="ro-MD"/>
        </w:rPr>
        <w:t xml:space="preserve"> </w:t>
      </w:r>
      <w:r w:rsidRPr="005C38B2">
        <w:rPr>
          <w:b/>
          <w:bCs/>
          <w:lang w:val="ro-MD"/>
        </w:rPr>
        <w:t xml:space="preserve">Valoarea contractului </w:t>
      </w:r>
    </w:p>
    <w:p w14:paraId="5CFCA223" w14:textId="003B55F5" w:rsidR="00580F77" w:rsidRPr="005C38B2" w:rsidRDefault="00580F77" w:rsidP="00580F77">
      <w:pPr>
        <w:spacing w:after="0" w:line="240" w:lineRule="auto"/>
        <w:ind w:hanging="2"/>
        <w:jc w:val="both"/>
        <w:rPr>
          <w:rFonts w:ascii="Verdana" w:hAnsi="Verdana" w:cs="Arial"/>
          <w:b/>
          <w:bCs/>
          <w:sz w:val="20"/>
          <w:szCs w:val="20"/>
        </w:rPr>
      </w:pPr>
      <w:r w:rsidRPr="005C38B2">
        <w:rPr>
          <w:lang w:val="ro-MD"/>
        </w:rPr>
        <w:t>5.1.</w:t>
      </w:r>
      <w:r w:rsidRPr="005C38B2">
        <w:rPr>
          <w:b/>
          <w:bCs/>
          <w:lang w:val="ro-MD"/>
        </w:rPr>
        <w:t xml:space="preserve"> Contractul este în valoare</w:t>
      </w:r>
      <w:r w:rsidR="00FD5578" w:rsidRPr="005C38B2">
        <w:rPr>
          <w:b/>
          <w:bCs/>
          <w:lang w:val="ro-MD"/>
        </w:rPr>
        <w:t xml:space="preserve"> totală</w:t>
      </w:r>
      <w:r w:rsidRPr="005C38B2">
        <w:rPr>
          <w:b/>
          <w:bCs/>
          <w:lang w:val="ro-MD"/>
        </w:rPr>
        <w:t xml:space="preserve"> de .......................</w:t>
      </w:r>
      <w:r w:rsidR="00FD5578" w:rsidRPr="005C38B2">
        <w:rPr>
          <w:b/>
          <w:bCs/>
          <w:lang w:val="ro-MD"/>
        </w:rPr>
        <w:t xml:space="preserve">, la cota </w:t>
      </w:r>
      <w:r w:rsidRPr="005C38B2">
        <w:rPr>
          <w:b/>
          <w:bCs/>
          <w:lang w:val="ro-MD"/>
        </w:rPr>
        <w:t xml:space="preserve"> TVA </w:t>
      </w:r>
      <w:r w:rsidR="00FD5578" w:rsidRPr="005C38B2">
        <w:rPr>
          <w:b/>
          <w:bCs/>
          <w:lang w:val="ro-MD"/>
        </w:rPr>
        <w:t>zero %</w:t>
      </w:r>
      <w:r w:rsidRPr="005C38B2">
        <w:rPr>
          <w:b/>
          <w:bCs/>
          <w:lang w:val="ro-MD"/>
        </w:rPr>
        <w:t>;</w:t>
      </w:r>
      <w:bookmarkStart w:id="2" w:name="_Hlk57140732"/>
      <w:r w:rsidRPr="005C38B2">
        <w:rPr>
          <w:rFonts w:ascii="Arial" w:hAnsi="Arial" w:cs="Arial"/>
          <w:sz w:val="20"/>
          <w:szCs w:val="20"/>
          <w:lang w:val="ro-RO"/>
        </w:rPr>
        <w:t xml:space="preserve"> </w:t>
      </w:r>
      <w:bookmarkEnd w:id="2"/>
    </w:p>
    <w:p w14:paraId="4DBCA120" w14:textId="33932235" w:rsidR="006A4070" w:rsidRPr="005C38B2" w:rsidRDefault="00580F77">
      <w:pPr>
        <w:spacing w:after="0" w:line="240" w:lineRule="auto"/>
        <w:ind w:hanging="2"/>
        <w:jc w:val="both"/>
        <w:rPr>
          <w:lang w:val="ro-MD"/>
        </w:rPr>
      </w:pPr>
      <w:r w:rsidRPr="005C38B2">
        <w:rPr>
          <w:lang w:val="ro-MD"/>
        </w:rPr>
        <w:t>5.2. Plata serviciilor prestate va fi realizată în</w:t>
      </w:r>
      <w:r w:rsidR="006A4070" w:rsidRPr="005C38B2">
        <w:rPr>
          <w:lang w:val="ro-MD"/>
        </w:rPr>
        <w:t xml:space="preserve"> două tranșe (</w:t>
      </w:r>
      <w:r w:rsidR="00AA4502" w:rsidRPr="005C38B2">
        <w:rPr>
          <w:lang w:val="ro-MD"/>
        </w:rPr>
        <w:t>XX</w:t>
      </w:r>
      <w:r w:rsidR="006A4070" w:rsidRPr="005C38B2">
        <w:rPr>
          <w:lang w:val="ro-MD"/>
        </w:rPr>
        <w:t xml:space="preserve">% în maxim 10 zile de la data semnării contractului și </w:t>
      </w:r>
      <w:r w:rsidR="00AA4502" w:rsidRPr="005C38B2">
        <w:rPr>
          <w:lang w:val="ro-MD"/>
        </w:rPr>
        <w:t>YY</w:t>
      </w:r>
      <w:r w:rsidR="006A4070" w:rsidRPr="005C38B2">
        <w:rPr>
          <w:lang w:val="ro-MD"/>
        </w:rPr>
        <w:t>% în</w:t>
      </w:r>
      <w:r w:rsidRPr="005C38B2">
        <w:rPr>
          <w:lang w:val="ro-MD"/>
        </w:rPr>
        <w:t xml:space="preserve"> maxim 30 de zile de la finalizarea </w:t>
      </w:r>
      <w:r w:rsidR="006A4070" w:rsidRPr="005C38B2">
        <w:rPr>
          <w:lang w:val="ro-MD"/>
        </w:rPr>
        <w:t>activității și livrarea produselor),</w:t>
      </w:r>
      <w:r w:rsidRPr="005C38B2">
        <w:rPr>
          <w:lang w:val="ro-MD"/>
        </w:rPr>
        <w:t xml:space="preserve"> în baza facturilor emise și a procesului verbal de recepție;</w:t>
      </w:r>
    </w:p>
    <w:p w14:paraId="046DC0EF" w14:textId="2E942C10" w:rsidR="00580F77" w:rsidRPr="005C38B2" w:rsidRDefault="00580F77" w:rsidP="00580F77">
      <w:pPr>
        <w:spacing w:after="0" w:line="240" w:lineRule="auto"/>
        <w:ind w:hanging="2"/>
        <w:jc w:val="both"/>
        <w:rPr>
          <w:lang w:val="ro-MD"/>
        </w:rPr>
      </w:pPr>
      <w:r w:rsidRPr="005C38B2">
        <w:rPr>
          <w:lang w:val="ro-MD"/>
        </w:rPr>
        <w:t xml:space="preserve">5.3. Plata se va face prin </w:t>
      </w:r>
      <w:r w:rsidR="0011018C" w:rsidRPr="005C38B2">
        <w:rPr>
          <w:lang w:val="ro-MD"/>
        </w:rPr>
        <w:t xml:space="preserve">transfer bancar, </w:t>
      </w:r>
      <w:r w:rsidRPr="005C38B2">
        <w:rPr>
          <w:lang w:val="ro-MD"/>
        </w:rPr>
        <w:t>în baza facturilor emise în baza contractului;</w:t>
      </w:r>
    </w:p>
    <w:p w14:paraId="018F4667" w14:textId="77777777" w:rsidR="00580F77" w:rsidRPr="005C38B2" w:rsidRDefault="00580F77" w:rsidP="00580F77">
      <w:pPr>
        <w:spacing w:after="0" w:line="240" w:lineRule="auto"/>
        <w:ind w:hanging="2"/>
        <w:jc w:val="both"/>
        <w:rPr>
          <w:lang w:val="ro-MD"/>
        </w:rPr>
      </w:pPr>
      <w:r w:rsidRPr="005C38B2">
        <w:rPr>
          <w:lang w:val="ro-MD"/>
        </w:rPr>
        <w:t>5.4. Prestatorul înțelege că valoarea ofertată și asumată în Ofertă și menționate în acest contract includ toate cheltuielile și costurile aferente prestării serviciilor și nu pot fi modificate.</w:t>
      </w:r>
    </w:p>
    <w:p w14:paraId="708C8C05" w14:textId="77777777" w:rsidR="00580F77" w:rsidRPr="005C38B2" w:rsidRDefault="00580F77" w:rsidP="00580F77">
      <w:pPr>
        <w:spacing w:after="0" w:line="240" w:lineRule="auto"/>
        <w:ind w:hanging="2"/>
        <w:jc w:val="both"/>
        <w:rPr>
          <w:lang w:val="ro-MD"/>
        </w:rPr>
      </w:pPr>
    </w:p>
    <w:p w14:paraId="5AE49B45" w14:textId="77777777" w:rsidR="00580F77" w:rsidRPr="005C38B2" w:rsidRDefault="00580F77" w:rsidP="00580F77">
      <w:pPr>
        <w:spacing w:after="0" w:line="240" w:lineRule="auto"/>
        <w:ind w:hanging="2"/>
        <w:jc w:val="both"/>
        <w:rPr>
          <w:b/>
          <w:bCs/>
          <w:lang w:val="ro-MD"/>
        </w:rPr>
      </w:pPr>
      <w:r w:rsidRPr="005C38B2">
        <w:rPr>
          <w:b/>
          <w:bCs/>
          <w:lang w:val="ro-MD"/>
        </w:rPr>
        <w:t xml:space="preserve">Art.6. Durata contractului </w:t>
      </w:r>
    </w:p>
    <w:p w14:paraId="0F258A66" w14:textId="77777777" w:rsidR="00580F77" w:rsidRPr="005C38B2" w:rsidRDefault="00580F77" w:rsidP="00580F77">
      <w:pPr>
        <w:spacing w:after="0" w:line="240" w:lineRule="auto"/>
        <w:ind w:hanging="2"/>
        <w:jc w:val="both"/>
        <w:rPr>
          <w:lang w:val="ro-MD"/>
        </w:rPr>
      </w:pPr>
      <w:r w:rsidRPr="005C38B2">
        <w:rPr>
          <w:lang w:val="ro-MD"/>
        </w:rPr>
        <w:t>6.1. Prezentul contract începe să-</w:t>
      </w:r>
      <w:proofErr w:type="spellStart"/>
      <w:r w:rsidRPr="005C38B2">
        <w:rPr>
          <w:lang w:val="ro-MD"/>
        </w:rPr>
        <w:t>şi</w:t>
      </w:r>
      <w:proofErr w:type="spellEnd"/>
      <w:r w:rsidRPr="005C38B2">
        <w:rPr>
          <w:lang w:val="ro-MD"/>
        </w:rPr>
        <w:t xml:space="preserve"> producă efectele la data de semnării acestuia de către părți, până la data de ........................</w:t>
      </w:r>
    </w:p>
    <w:p w14:paraId="2E3B26D9" w14:textId="77777777" w:rsidR="00580F77" w:rsidRPr="005C38B2" w:rsidRDefault="00580F77" w:rsidP="00580F77">
      <w:pPr>
        <w:spacing w:after="0" w:line="240" w:lineRule="auto"/>
        <w:ind w:hanging="2"/>
        <w:jc w:val="both"/>
        <w:rPr>
          <w:b/>
          <w:bCs/>
          <w:lang w:val="ro-MD"/>
        </w:rPr>
      </w:pPr>
    </w:p>
    <w:p w14:paraId="2E4E2AB9" w14:textId="77777777" w:rsidR="00580F77" w:rsidRPr="005C38B2" w:rsidRDefault="00580F77" w:rsidP="00580F77">
      <w:pPr>
        <w:spacing w:after="0" w:line="240" w:lineRule="auto"/>
        <w:ind w:hanging="2"/>
        <w:jc w:val="both"/>
        <w:rPr>
          <w:b/>
          <w:bCs/>
          <w:lang w:val="ro-MD"/>
        </w:rPr>
      </w:pPr>
      <w:r w:rsidRPr="005C38B2">
        <w:rPr>
          <w:b/>
          <w:bCs/>
          <w:lang w:val="ro-MD"/>
        </w:rPr>
        <w:t>Art.7. Executarea contractului</w:t>
      </w:r>
    </w:p>
    <w:p w14:paraId="07C9D786" w14:textId="77777777" w:rsidR="00580F77" w:rsidRPr="005C38B2" w:rsidRDefault="00580F77" w:rsidP="00580F77">
      <w:pPr>
        <w:spacing w:after="0" w:line="240" w:lineRule="auto"/>
        <w:ind w:hanging="2"/>
        <w:jc w:val="both"/>
        <w:rPr>
          <w:lang w:val="ro-MD"/>
        </w:rPr>
      </w:pPr>
      <w:r w:rsidRPr="005C38B2">
        <w:rPr>
          <w:lang w:val="ro-MD"/>
        </w:rPr>
        <w:t>7.1. Executarea contractului începe la data semnării contractului.</w:t>
      </w:r>
    </w:p>
    <w:p w14:paraId="655DDAC3" w14:textId="77777777" w:rsidR="00580F77" w:rsidRPr="005C38B2" w:rsidRDefault="00580F77" w:rsidP="00580F77">
      <w:pPr>
        <w:spacing w:after="0" w:line="240" w:lineRule="auto"/>
        <w:ind w:hanging="2"/>
        <w:jc w:val="both"/>
        <w:rPr>
          <w:lang w:val="ro-MD"/>
        </w:rPr>
      </w:pPr>
      <w:r w:rsidRPr="005C38B2">
        <w:rPr>
          <w:lang w:val="ro-MD"/>
        </w:rPr>
        <w:t xml:space="preserve">7.2. Persoana desemnata din partea Beneficiarului pentru gestionarea acestui contract este ..................................., având adresa de e-mail </w:t>
      </w:r>
      <w:hyperlink r:id="rId7" w:history="1">
        <w:r w:rsidRPr="005C38B2">
          <w:rPr>
            <w:rStyle w:val="Hyperlink"/>
            <w:lang w:val="ro-MD"/>
          </w:rPr>
          <w:t>............................</w:t>
        </w:r>
      </w:hyperlink>
      <w:r w:rsidRPr="005C38B2">
        <w:rPr>
          <w:lang w:val="ro-MD"/>
        </w:rPr>
        <w:t xml:space="preserve">  și telefon .............................;</w:t>
      </w:r>
    </w:p>
    <w:p w14:paraId="5C9E55B0" w14:textId="77777777" w:rsidR="00580F77" w:rsidRPr="005C38B2" w:rsidRDefault="00580F77" w:rsidP="00580F77">
      <w:pPr>
        <w:spacing w:after="0" w:line="240" w:lineRule="auto"/>
        <w:ind w:hanging="2"/>
        <w:jc w:val="both"/>
        <w:rPr>
          <w:lang w:val="ro-MD"/>
        </w:rPr>
      </w:pPr>
    </w:p>
    <w:p w14:paraId="530ED4AC" w14:textId="77777777" w:rsidR="00580F77" w:rsidRPr="005C38B2" w:rsidRDefault="00580F77" w:rsidP="00580F77">
      <w:pPr>
        <w:spacing w:after="0" w:line="240" w:lineRule="auto"/>
        <w:jc w:val="both"/>
        <w:rPr>
          <w:b/>
          <w:bCs/>
          <w:lang w:val="ro-MD"/>
        </w:rPr>
      </w:pPr>
      <w:r w:rsidRPr="005C38B2">
        <w:rPr>
          <w:b/>
          <w:bCs/>
          <w:lang w:val="ro-MD"/>
        </w:rPr>
        <w:t xml:space="preserve">Art.8. Anexele contractului </w:t>
      </w:r>
    </w:p>
    <w:p w14:paraId="7B01A106" w14:textId="77777777" w:rsidR="00580F77" w:rsidRPr="005C38B2" w:rsidRDefault="00580F77" w:rsidP="00580F77">
      <w:pPr>
        <w:spacing w:after="0" w:line="240" w:lineRule="auto"/>
        <w:ind w:hanging="2"/>
        <w:jc w:val="both"/>
        <w:rPr>
          <w:lang w:val="ro-MD"/>
        </w:rPr>
      </w:pPr>
      <w:r w:rsidRPr="005C38B2">
        <w:rPr>
          <w:lang w:val="ro-MD"/>
        </w:rPr>
        <w:t>8.1.  Anexele la contract sunt:</w:t>
      </w:r>
    </w:p>
    <w:p w14:paraId="088B5B85" w14:textId="77777777" w:rsidR="00580F77" w:rsidRPr="005C38B2" w:rsidRDefault="00580F77" w:rsidP="00580F77">
      <w:pPr>
        <w:pStyle w:val="ListParagraph"/>
        <w:numPr>
          <w:ilvl w:val="0"/>
          <w:numId w:val="7"/>
        </w:numPr>
        <w:suppressAutoHyphens w:val="0"/>
        <w:spacing w:after="0" w:line="240" w:lineRule="auto"/>
        <w:ind w:leftChars="0" w:firstLineChars="0"/>
        <w:jc w:val="both"/>
        <w:textDirection w:val="lrTb"/>
        <w:textAlignment w:val="auto"/>
        <w:outlineLvl w:val="9"/>
        <w:rPr>
          <w:rFonts w:asciiTheme="majorHAnsi" w:hAnsiTheme="majorHAnsi" w:cstheme="majorHAnsi"/>
          <w:lang w:val="ro-MD"/>
        </w:rPr>
      </w:pPr>
      <w:r w:rsidRPr="005C38B2">
        <w:rPr>
          <w:rFonts w:asciiTheme="majorHAnsi" w:hAnsiTheme="majorHAnsi" w:cstheme="majorHAnsi"/>
          <w:lang w:val="ro-MD"/>
        </w:rPr>
        <w:t xml:space="preserve">Anexa 1 – Formular de ofertă tehnică/financiară </w:t>
      </w:r>
    </w:p>
    <w:p w14:paraId="2077F603" w14:textId="2DB33AA0" w:rsidR="00D21887" w:rsidRPr="005C38B2" w:rsidRDefault="00D21887" w:rsidP="00580F77">
      <w:pPr>
        <w:pStyle w:val="ListParagraph"/>
        <w:numPr>
          <w:ilvl w:val="0"/>
          <w:numId w:val="7"/>
        </w:numPr>
        <w:suppressAutoHyphens w:val="0"/>
        <w:spacing w:after="0" w:line="240" w:lineRule="auto"/>
        <w:ind w:leftChars="0" w:firstLineChars="0"/>
        <w:jc w:val="both"/>
        <w:textDirection w:val="lrTb"/>
        <w:textAlignment w:val="auto"/>
        <w:outlineLvl w:val="9"/>
        <w:rPr>
          <w:rFonts w:asciiTheme="majorHAnsi" w:hAnsiTheme="majorHAnsi" w:cstheme="majorHAnsi"/>
          <w:lang w:val="ro-MD"/>
        </w:rPr>
      </w:pPr>
      <w:r w:rsidRPr="005C38B2">
        <w:rPr>
          <w:rFonts w:asciiTheme="majorHAnsi" w:hAnsiTheme="majorHAnsi" w:cstheme="majorHAnsi"/>
          <w:lang w:val="ro-MD"/>
        </w:rPr>
        <w:t xml:space="preserve">Anexa 2 – Termenii de referință privind realizarea studiului </w:t>
      </w:r>
    </w:p>
    <w:p w14:paraId="6542A600" w14:textId="77777777" w:rsidR="00580F77" w:rsidRPr="005C38B2" w:rsidRDefault="00580F77" w:rsidP="00580F77">
      <w:pPr>
        <w:spacing w:after="0" w:line="240" w:lineRule="auto"/>
        <w:ind w:hanging="2"/>
        <w:jc w:val="both"/>
        <w:rPr>
          <w:b/>
          <w:bCs/>
          <w:lang w:val="ro-MD"/>
        </w:rPr>
      </w:pPr>
    </w:p>
    <w:p w14:paraId="48E7400A" w14:textId="77777777" w:rsidR="00580F77" w:rsidRPr="005C38B2" w:rsidRDefault="00580F77" w:rsidP="00580F77">
      <w:pPr>
        <w:spacing w:after="0" w:line="240" w:lineRule="auto"/>
        <w:ind w:hanging="2"/>
        <w:jc w:val="both"/>
        <w:rPr>
          <w:b/>
          <w:bCs/>
          <w:lang w:val="ro-MD"/>
        </w:rPr>
      </w:pPr>
      <w:r w:rsidRPr="005C38B2">
        <w:rPr>
          <w:b/>
          <w:bCs/>
          <w:lang w:val="ro-MD"/>
        </w:rPr>
        <w:t>Art. 9. Obligațiile principale ale prestatorului</w:t>
      </w:r>
    </w:p>
    <w:p w14:paraId="6A90AB01" w14:textId="77777777" w:rsidR="00580F77" w:rsidRPr="005C38B2" w:rsidRDefault="00580F77" w:rsidP="00580F77">
      <w:pPr>
        <w:spacing w:after="0" w:line="240" w:lineRule="auto"/>
        <w:ind w:hanging="2"/>
        <w:jc w:val="both"/>
        <w:rPr>
          <w:lang w:val="ro-MD"/>
        </w:rPr>
      </w:pPr>
      <w:r w:rsidRPr="005C38B2">
        <w:rPr>
          <w:lang w:val="ro-MD"/>
        </w:rPr>
        <w:t>9.1. Prestatorul se obligă să presteze serviciile conform indicațiilor, în condițiile și conform calendarului activităților din cererea de ofertă;</w:t>
      </w:r>
    </w:p>
    <w:p w14:paraId="4AFD2A5E" w14:textId="77777777" w:rsidR="00580F77" w:rsidRPr="005C38B2" w:rsidRDefault="00580F77" w:rsidP="00580F77">
      <w:pPr>
        <w:spacing w:after="0" w:line="240" w:lineRule="auto"/>
        <w:ind w:hanging="2"/>
        <w:jc w:val="both"/>
        <w:rPr>
          <w:lang w:val="ro-MD"/>
        </w:rPr>
      </w:pPr>
      <w:r w:rsidRPr="005C38B2">
        <w:rPr>
          <w:lang w:val="ro-MD"/>
        </w:rPr>
        <w:t>9.2. Prestatorul este răspunzător atât de siguranța tuturor operațiunilor și metodelor de prestare utilizate, cât și de calificarea personalului folosit pe toată durata contractului, așa cum a fost nominalizat în oferta tehnică;</w:t>
      </w:r>
    </w:p>
    <w:p w14:paraId="6D4F2C4A" w14:textId="77777777" w:rsidR="00580F77" w:rsidRPr="005C38B2" w:rsidRDefault="00580F77" w:rsidP="00580F77">
      <w:pPr>
        <w:spacing w:after="0" w:line="240" w:lineRule="auto"/>
        <w:ind w:hanging="2"/>
        <w:jc w:val="both"/>
        <w:rPr>
          <w:lang w:val="ro-MD"/>
        </w:rPr>
      </w:pPr>
      <w:r w:rsidRPr="005C38B2">
        <w:rPr>
          <w:lang w:val="ro-MD"/>
        </w:rPr>
        <w:t xml:space="preserve">9.3. Prestatorul garantează Beneficiarului pentru calitatea serviciilor prestate </w:t>
      </w:r>
      <w:proofErr w:type="spellStart"/>
      <w:r w:rsidRPr="005C38B2">
        <w:rPr>
          <w:lang w:val="ro-MD"/>
        </w:rPr>
        <w:t>şi</w:t>
      </w:r>
      <w:proofErr w:type="spellEnd"/>
      <w:r w:rsidRPr="005C38B2">
        <w:rPr>
          <w:lang w:val="ro-MD"/>
        </w:rPr>
        <w:t xml:space="preserve"> pentru serviciile puse la dispoziția acestuia;</w:t>
      </w:r>
    </w:p>
    <w:p w14:paraId="1163126A" w14:textId="77777777" w:rsidR="00580F77" w:rsidRPr="005C38B2" w:rsidRDefault="00580F77" w:rsidP="00580F77">
      <w:pPr>
        <w:spacing w:after="0" w:line="240" w:lineRule="auto"/>
        <w:ind w:hanging="2"/>
        <w:jc w:val="both"/>
        <w:rPr>
          <w:lang w:val="ro-MD"/>
        </w:rPr>
      </w:pPr>
      <w:r w:rsidRPr="005C38B2">
        <w:rPr>
          <w:lang w:val="ro-MD"/>
        </w:rPr>
        <w:t>9.4. În cazul în care Prestatorul nu respectă termenele de prestare, acesta se află de drept în întârziere;</w:t>
      </w:r>
    </w:p>
    <w:p w14:paraId="20C625FB" w14:textId="77777777" w:rsidR="00580F77" w:rsidRPr="005C38B2" w:rsidRDefault="00580F77" w:rsidP="00580F77">
      <w:pPr>
        <w:spacing w:after="0" w:line="240" w:lineRule="auto"/>
        <w:ind w:hanging="2"/>
        <w:jc w:val="both"/>
        <w:rPr>
          <w:lang w:val="ro-MD"/>
        </w:rPr>
      </w:pPr>
      <w:r w:rsidRPr="005C38B2">
        <w:rPr>
          <w:lang w:val="ro-MD"/>
        </w:rPr>
        <w:t>9.5. Prestatorul se obligă să asigure resursele umane, materialele și orice alte asemenea, fie de natură provizorie, fie definitivă, cerute de și pentru contract, în măsura în care necesitatea asigurării acestora este prevăzută în prezentul contract sau se poate deduce în mod rezonabil din contract;</w:t>
      </w:r>
    </w:p>
    <w:p w14:paraId="6CABCDDF" w14:textId="77777777" w:rsidR="00580F77" w:rsidRPr="005C38B2" w:rsidRDefault="00580F77" w:rsidP="00580F77">
      <w:pPr>
        <w:spacing w:after="0" w:line="240" w:lineRule="auto"/>
        <w:ind w:hanging="2"/>
        <w:jc w:val="both"/>
        <w:rPr>
          <w:lang w:val="ro-MD"/>
        </w:rPr>
      </w:pPr>
      <w:r w:rsidRPr="005C38B2">
        <w:rPr>
          <w:lang w:val="ro-MD"/>
        </w:rPr>
        <w:t>9.6. Prestatorul va considera toate documentele și informațiile care îi sunt puse la dispoziție referitoare la prezentul contract drept private și confidențiale după caz, și nu va publica sau divulga niciun element al prezentului contract fără acordul scris, prealabil, al Beneficiarului. Dacă există divergențe cu privire la necesitatea publicării sau divulgării în scopul executării prezentului contract, decizia finală va aparține Beneficiarului;</w:t>
      </w:r>
    </w:p>
    <w:p w14:paraId="1605CCFD" w14:textId="77777777" w:rsidR="00580F77" w:rsidRPr="005C38B2" w:rsidRDefault="00580F77" w:rsidP="00580F77">
      <w:pPr>
        <w:spacing w:after="0" w:line="240" w:lineRule="auto"/>
        <w:ind w:hanging="2"/>
        <w:jc w:val="both"/>
        <w:rPr>
          <w:lang w:val="ro-MD"/>
        </w:rPr>
      </w:pPr>
      <w:r w:rsidRPr="005C38B2">
        <w:rPr>
          <w:lang w:val="ro-MD"/>
        </w:rPr>
        <w:lastRenderedPageBreak/>
        <w:t>9.7. Prestatorul are obligația de a asigura asistenta telefonică disponibilă pe tot parcursul derulării contractului, pentru buna desfășurare a activităților acestuia;</w:t>
      </w:r>
    </w:p>
    <w:p w14:paraId="7795CBD1" w14:textId="77777777" w:rsidR="00580F77" w:rsidRPr="005C38B2" w:rsidRDefault="00580F77" w:rsidP="00580F77">
      <w:pPr>
        <w:spacing w:after="0" w:line="240" w:lineRule="auto"/>
        <w:ind w:hanging="2"/>
        <w:jc w:val="both"/>
        <w:rPr>
          <w:lang w:val="ro-MD"/>
        </w:rPr>
      </w:pPr>
      <w:r w:rsidRPr="005C38B2">
        <w:rPr>
          <w:lang w:val="ro-MD"/>
        </w:rPr>
        <w:t>9.8. Prestatorul are obligația de a emite și transmite la timp facturile către Beneficiar, corect întocmite, conform legislației aplicabile și prevederilor acestui Contract;</w:t>
      </w:r>
    </w:p>
    <w:p w14:paraId="48B8FCD3" w14:textId="77777777" w:rsidR="00580F77" w:rsidRPr="005C38B2" w:rsidRDefault="00580F77" w:rsidP="00580F77">
      <w:pPr>
        <w:spacing w:after="0" w:line="240" w:lineRule="auto"/>
        <w:ind w:hanging="2"/>
        <w:jc w:val="both"/>
        <w:rPr>
          <w:lang w:val="ro-MD"/>
        </w:rPr>
      </w:pPr>
      <w:r w:rsidRPr="005C38B2">
        <w:rPr>
          <w:lang w:val="ro-MD"/>
        </w:rPr>
        <w:t xml:space="preserve">9.9. Prestatorul are obligația de a menține preturile asumate prin Ofertă </w:t>
      </w:r>
      <w:proofErr w:type="spellStart"/>
      <w:r w:rsidRPr="005C38B2">
        <w:rPr>
          <w:lang w:val="ro-MD"/>
        </w:rPr>
        <w:t>şi</w:t>
      </w:r>
      <w:proofErr w:type="spellEnd"/>
      <w:r w:rsidRPr="005C38B2">
        <w:rPr>
          <w:lang w:val="ro-MD"/>
        </w:rPr>
        <w:t xml:space="preserve"> Contract pe întreaga durată de valabilitate a acestuia. Această obligație subzistă </w:t>
      </w:r>
      <w:proofErr w:type="spellStart"/>
      <w:r w:rsidRPr="005C38B2">
        <w:rPr>
          <w:lang w:val="ro-MD"/>
        </w:rPr>
        <w:t>şi</w:t>
      </w:r>
      <w:proofErr w:type="spellEnd"/>
      <w:r w:rsidRPr="005C38B2">
        <w:rPr>
          <w:lang w:val="ro-MD"/>
        </w:rPr>
        <w:t xml:space="preserve"> în situația în care părțile decid, de comun acord, prelungirea prin act adițional a perioadei de valabilitate a Contractului.</w:t>
      </w:r>
    </w:p>
    <w:p w14:paraId="7BC7F3B4" w14:textId="77777777" w:rsidR="00580F77" w:rsidRPr="005C38B2" w:rsidRDefault="00580F77" w:rsidP="00580F77">
      <w:pPr>
        <w:spacing w:after="0" w:line="240" w:lineRule="auto"/>
        <w:jc w:val="both"/>
        <w:rPr>
          <w:b/>
          <w:bCs/>
          <w:lang w:val="ro-MD"/>
        </w:rPr>
      </w:pPr>
    </w:p>
    <w:p w14:paraId="40DD446A" w14:textId="77777777" w:rsidR="00580F77" w:rsidRPr="005C38B2" w:rsidRDefault="00580F77" w:rsidP="00580F77">
      <w:pPr>
        <w:spacing w:after="0" w:line="240" w:lineRule="auto"/>
        <w:ind w:hanging="2"/>
        <w:jc w:val="both"/>
        <w:rPr>
          <w:b/>
          <w:bCs/>
          <w:lang w:val="ro-MD"/>
        </w:rPr>
      </w:pPr>
      <w:r w:rsidRPr="005C38B2">
        <w:rPr>
          <w:b/>
          <w:bCs/>
          <w:lang w:val="ro-MD"/>
        </w:rPr>
        <w:t>Art.10. Obligațiile principale ale beneficiarului</w:t>
      </w:r>
    </w:p>
    <w:p w14:paraId="03967273" w14:textId="77777777" w:rsidR="00580F77" w:rsidRPr="005C38B2" w:rsidRDefault="00580F77" w:rsidP="00580F77">
      <w:pPr>
        <w:spacing w:after="0" w:line="240" w:lineRule="auto"/>
        <w:ind w:hanging="2"/>
        <w:jc w:val="both"/>
        <w:rPr>
          <w:lang w:val="ro-MD"/>
        </w:rPr>
      </w:pPr>
      <w:r w:rsidRPr="005C38B2">
        <w:rPr>
          <w:lang w:val="ro-MD"/>
        </w:rPr>
        <w:t>10.1. Beneficiarul se obligă să recepționeze serviciile la timp și corect prestate;</w:t>
      </w:r>
    </w:p>
    <w:p w14:paraId="3DB15462" w14:textId="77777777" w:rsidR="00580F77" w:rsidRPr="005C38B2" w:rsidRDefault="00580F77" w:rsidP="00580F77">
      <w:pPr>
        <w:spacing w:after="0" w:line="240" w:lineRule="auto"/>
        <w:ind w:hanging="2"/>
        <w:jc w:val="both"/>
        <w:rPr>
          <w:lang w:val="ro-MD"/>
        </w:rPr>
      </w:pPr>
      <w:r w:rsidRPr="005C38B2">
        <w:rPr>
          <w:lang w:val="ro-MD"/>
        </w:rPr>
        <w:t xml:space="preserve">10.2. Beneficiarul se obligă să plătească, în condițiile prezentate în contract, prețul serviciilor prestate de Prestator la timp </w:t>
      </w:r>
      <w:proofErr w:type="spellStart"/>
      <w:r w:rsidRPr="005C38B2">
        <w:rPr>
          <w:lang w:val="ro-MD"/>
        </w:rPr>
        <w:t>şi</w:t>
      </w:r>
      <w:proofErr w:type="spellEnd"/>
      <w:r w:rsidRPr="005C38B2">
        <w:rPr>
          <w:lang w:val="ro-MD"/>
        </w:rPr>
        <w:t xml:space="preserve"> conform prevederilor acestui Contract;</w:t>
      </w:r>
    </w:p>
    <w:p w14:paraId="1196BB05" w14:textId="77777777" w:rsidR="00580F77" w:rsidRPr="005C38B2" w:rsidRDefault="00580F77" w:rsidP="00580F77">
      <w:pPr>
        <w:spacing w:after="0" w:line="240" w:lineRule="auto"/>
        <w:ind w:hanging="2"/>
        <w:jc w:val="both"/>
        <w:rPr>
          <w:lang w:val="ro-MD"/>
        </w:rPr>
      </w:pPr>
    </w:p>
    <w:p w14:paraId="5E9164B0" w14:textId="77777777" w:rsidR="00580F77" w:rsidRPr="005C38B2" w:rsidRDefault="00580F77" w:rsidP="00580F77">
      <w:pPr>
        <w:spacing w:after="0" w:line="240" w:lineRule="auto"/>
        <w:ind w:hanging="2"/>
        <w:jc w:val="both"/>
        <w:rPr>
          <w:b/>
          <w:bCs/>
          <w:lang w:val="ro-MD"/>
        </w:rPr>
      </w:pPr>
      <w:r w:rsidRPr="005C38B2">
        <w:rPr>
          <w:b/>
          <w:bCs/>
          <w:lang w:val="ro-MD"/>
        </w:rPr>
        <w:t>Art.11. Sancțiuni pentru neîndeplinirea culpabilă a obligațiilor</w:t>
      </w:r>
    </w:p>
    <w:p w14:paraId="0AD0A4C8" w14:textId="77777777" w:rsidR="00580F77" w:rsidRPr="005C38B2" w:rsidRDefault="00580F77" w:rsidP="00580F77">
      <w:pPr>
        <w:spacing w:after="0" w:line="240" w:lineRule="auto"/>
        <w:ind w:hanging="2"/>
        <w:jc w:val="both"/>
        <w:rPr>
          <w:lang w:val="ro-MD"/>
        </w:rPr>
      </w:pPr>
      <w:r w:rsidRPr="005C38B2">
        <w:rPr>
          <w:lang w:val="ro-MD"/>
        </w:rPr>
        <w:t>11.1. (1) - În cazul în care, din vina sa exclusivă, Prestatorul nu reușește să-și execute obligațiile asumate prin contract, atunci Beneficiarul are dreptul de a deduce din prețul contractului, ca penalități, o sumă echivalentă cu o cotă procentuală în valoare de 0,1% din valoarea contractului pentru fiecare zi de întârziere;</w:t>
      </w:r>
    </w:p>
    <w:p w14:paraId="014E5544" w14:textId="77777777" w:rsidR="00580F77" w:rsidRPr="005C38B2" w:rsidRDefault="00580F77" w:rsidP="00580F77">
      <w:pPr>
        <w:spacing w:after="0" w:line="240" w:lineRule="auto"/>
        <w:ind w:hanging="2"/>
        <w:jc w:val="both"/>
        <w:rPr>
          <w:lang w:val="ro-MD"/>
        </w:rPr>
      </w:pPr>
      <w:r w:rsidRPr="005C38B2">
        <w:rPr>
          <w:lang w:val="ro-MD"/>
        </w:rPr>
        <w:t>(2) În cazul în care obligațiile contractuale nu sunt susceptibile de desfășurare în timp, Beneficiarul are dreptul să solicite plata de daune aferente neexecutării sau executării defectuoase a obligațiilor de către Prestator;</w:t>
      </w:r>
    </w:p>
    <w:p w14:paraId="3529C58E" w14:textId="77777777" w:rsidR="00580F77" w:rsidRPr="005C38B2" w:rsidRDefault="00580F77" w:rsidP="00580F77">
      <w:pPr>
        <w:spacing w:after="0" w:line="240" w:lineRule="auto"/>
        <w:ind w:hanging="2"/>
        <w:jc w:val="both"/>
        <w:rPr>
          <w:lang w:val="ro-MD"/>
        </w:rPr>
      </w:pPr>
      <w:r w:rsidRPr="005C38B2">
        <w:rPr>
          <w:lang w:val="ro-MD"/>
        </w:rPr>
        <w:t>11.2.  În cazul în care Beneficiarul nu onorează facturile în termen de maxim 30 de zile, atunci acesta are obligația de a plăti ca penalități o sumă echivalentă cu o cotă procentuală din plata neefectuată în valoare de 0,1% din valoarea facturii pentru fiecare zi de întârziere;</w:t>
      </w:r>
    </w:p>
    <w:p w14:paraId="1E8CA6BD" w14:textId="77777777" w:rsidR="00580F77" w:rsidRPr="005C38B2" w:rsidRDefault="00580F77" w:rsidP="00580F77">
      <w:pPr>
        <w:spacing w:after="0" w:line="240" w:lineRule="auto"/>
        <w:ind w:hanging="2"/>
        <w:jc w:val="both"/>
        <w:rPr>
          <w:lang w:val="ro-MD"/>
        </w:rPr>
      </w:pPr>
      <w:r w:rsidRPr="005C38B2">
        <w:rPr>
          <w:lang w:val="ro-MD"/>
        </w:rPr>
        <w:t xml:space="preserve">11.3.  Nerespectarea obligațiilor asumate prin prezentul contract de către una dintre pârți, în mod culpabil </w:t>
      </w:r>
      <w:proofErr w:type="spellStart"/>
      <w:r w:rsidRPr="005C38B2">
        <w:rPr>
          <w:lang w:val="ro-MD"/>
        </w:rPr>
        <w:t>şi</w:t>
      </w:r>
      <w:proofErr w:type="spellEnd"/>
      <w:r w:rsidRPr="005C38B2">
        <w:rPr>
          <w:lang w:val="ro-MD"/>
        </w:rPr>
        <w:t xml:space="preserve"> repetat, dă dreptul pârții lezate de a considera contractul de drept reziliat </w:t>
      </w:r>
      <w:proofErr w:type="spellStart"/>
      <w:r w:rsidRPr="005C38B2">
        <w:rPr>
          <w:lang w:val="ro-MD"/>
        </w:rPr>
        <w:t>şi</w:t>
      </w:r>
      <w:proofErr w:type="spellEnd"/>
      <w:r w:rsidRPr="005C38B2">
        <w:rPr>
          <w:lang w:val="ro-MD"/>
        </w:rPr>
        <w:t xml:space="preserve"> de a pretinde plata de daune-interese.</w:t>
      </w:r>
    </w:p>
    <w:p w14:paraId="14E570F3" w14:textId="77777777" w:rsidR="00580F77" w:rsidRPr="005C38B2" w:rsidRDefault="00580F77" w:rsidP="00580F77">
      <w:pPr>
        <w:spacing w:after="0" w:line="240" w:lineRule="auto"/>
        <w:ind w:hanging="2"/>
        <w:jc w:val="both"/>
        <w:rPr>
          <w:lang w:val="ro-MD"/>
        </w:rPr>
      </w:pPr>
      <w:r w:rsidRPr="005C38B2">
        <w:rPr>
          <w:lang w:val="ro-MD"/>
        </w:rPr>
        <w:t xml:space="preserve">11.4. Beneficiarul își rezervă dreptul de a renunța oricând la contract, printr-o notificare scrisă, adresată Prestatorului, fără nici o compensație, dacă acesta din urmă dă faliment, cu condiția ca această anulare să nu prejudicieze sau să afecteze dreptul la acțiune sau despăgubire pentru furnizor. In acest caz, Prestatorul are dreptul de a pretinde numai plata corespunzătoare pentru partea din contract îndeplinită până la data denunțării unilaterale a contractului. </w:t>
      </w:r>
    </w:p>
    <w:p w14:paraId="412AD2A9" w14:textId="77777777" w:rsidR="00580F77" w:rsidRPr="005C38B2" w:rsidRDefault="00580F77" w:rsidP="00580F77">
      <w:pPr>
        <w:spacing w:after="0" w:line="240" w:lineRule="auto"/>
        <w:ind w:hanging="2"/>
        <w:jc w:val="both"/>
        <w:rPr>
          <w:lang w:val="ro-MD"/>
        </w:rPr>
      </w:pPr>
    </w:p>
    <w:p w14:paraId="22E07E51" w14:textId="77777777" w:rsidR="00580F77" w:rsidRPr="005C38B2" w:rsidRDefault="00580F77" w:rsidP="00580F77">
      <w:pPr>
        <w:spacing w:after="0" w:line="240" w:lineRule="auto"/>
        <w:ind w:hanging="2"/>
        <w:jc w:val="both"/>
        <w:rPr>
          <w:b/>
          <w:bCs/>
          <w:lang w:val="ro-MD"/>
        </w:rPr>
      </w:pPr>
      <w:r w:rsidRPr="005C38B2">
        <w:rPr>
          <w:b/>
          <w:bCs/>
          <w:lang w:val="ro-MD"/>
        </w:rPr>
        <w:t xml:space="preserve">Art.12. Garanția de bună execuție a contractului </w:t>
      </w:r>
    </w:p>
    <w:p w14:paraId="195AAE36" w14:textId="77777777" w:rsidR="00580F77" w:rsidRPr="005C38B2" w:rsidRDefault="00580F77" w:rsidP="00580F77">
      <w:pPr>
        <w:spacing w:after="0" w:line="240" w:lineRule="auto"/>
        <w:ind w:hanging="2"/>
        <w:jc w:val="both"/>
        <w:rPr>
          <w:lang w:val="ro-MD"/>
        </w:rPr>
      </w:pPr>
      <w:r w:rsidRPr="005C38B2">
        <w:rPr>
          <w:lang w:val="ro-MD"/>
        </w:rPr>
        <w:t xml:space="preserve">12.1.  Prestatorul nu este obligat să constituie garanția de bună execuție a contractului. </w:t>
      </w:r>
    </w:p>
    <w:p w14:paraId="46DA1DB7" w14:textId="77777777" w:rsidR="00580F77" w:rsidRPr="005C38B2" w:rsidRDefault="00580F77" w:rsidP="00580F77">
      <w:pPr>
        <w:spacing w:after="0" w:line="240" w:lineRule="auto"/>
        <w:ind w:hanging="2"/>
        <w:jc w:val="both"/>
        <w:rPr>
          <w:lang w:val="ro-MD"/>
        </w:rPr>
      </w:pPr>
    </w:p>
    <w:p w14:paraId="38B2D5FD" w14:textId="77777777" w:rsidR="00580F77" w:rsidRPr="005C38B2" w:rsidRDefault="00580F77" w:rsidP="00580F77">
      <w:pPr>
        <w:spacing w:after="0" w:line="240" w:lineRule="auto"/>
        <w:ind w:hanging="2"/>
        <w:jc w:val="both"/>
        <w:rPr>
          <w:b/>
          <w:bCs/>
          <w:lang w:val="ro-MD"/>
        </w:rPr>
      </w:pPr>
      <w:r w:rsidRPr="005C38B2">
        <w:rPr>
          <w:b/>
          <w:bCs/>
          <w:lang w:val="ro-MD"/>
        </w:rPr>
        <w:t>Art.13. Alte responsabilități ale prestatorului</w:t>
      </w:r>
    </w:p>
    <w:p w14:paraId="3FC822F4" w14:textId="77777777" w:rsidR="00580F77" w:rsidRPr="005C38B2" w:rsidRDefault="00580F77" w:rsidP="00580F77">
      <w:pPr>
        <w:spacing w:after="0" w:line="240" w:lineRule="auto"/>
        <w:ind w:hanging="2"/>
        <w:jc w:val="both"/>
        <w:rPr>
          <w:lang w:val="ro-MD"/>
        </w:rPr>
      </w:pPr>
      <w:r w:rsidRPr="005C38B2">
        <w:rPr>
          <w:lang w:val="ro-MD"/>
        </w:rPr>
        <w:t xml:space="preserve">13.1. Prestatorul are obligația de a presta serviciile prevăzute în contract cu profesionalismul </w:t>
      </w:r>
      <w:proofErr w:type="spellStart"/>
      <w:r w:rsidRPr="005C38B2">
        <w:rPr>
          <w:lang w:val="ro-MD"/>
        </w:rPr>
        <w:t>şi</w:t>
      </w:r>
      <w:proofErr w:type="spellEnd"/>
      <w:r w:rsidRPr="005C38B2">
        <w:rPr>
          <w:lang w:val="ro-MD"/>
        </w:rPr>
        <w:t xml:space="preserve"> promptitudinea cuvenite angajamentului asumat;</w:t>
      </w:r>
    </w:p>
    <w:p w14:paraId="7BF1AE86" w14:textId="77777777" w:rsidR="00580F77" w:rsidRPr="005C38B2" w:rsidRDefault="00580F77" w:rsidP="00580F77">
      <w:pPr>
        <w:spacing w:after="0" w:line="240" w:lineRule="auto"/>
        <w:ind w:hanging="2"/>
        <w:jc w:val="both"/>
        <w:rPr>
          <w:lang w:val="ro-MD"/>
        </w:rPr>
      </w:pPr>
      <w:r w:rsidRPr="005C38B2">
        <w:rPr>
          <w:lang w:val="ro-MD"/>
        </w:rPr>
        <w:t xml:space="preserve">13.2. Prestatorul este pe deplin responsabil pentru prestarea serviciilor și, totodată, de siguranța tuturor operațiunilor și metodelor de furnizare utilizate, cât și de calificarea personalului folosit pe toată durata contractului. </w:t>
      </w:r>
    </w:p>
    <w:p w14:paraId="01C13A41" w14:textId="77777777" w:rsidR="00580F77" w:rsidRPr="005C38B2" w:rsidRDefault="00580F77" w:rsidP="00580F77">
      <w:pPr>
        <w:spacing w:after="0" w:line="240" w:lineRule="auto"/>
        <w:ind w:hanging="2"/>
        <w:jc w:val="both"/>
        <w:rPr>
          <w:b/>
          <w:bCs/>
          <w:lang w:val="ro-MD"/>
        </w:rPr>
      </w:pPr>
    </w:p>
    <w:p w14:paraId="6CE46E8E" w14:textId="77777777" w:rsidR="00580F77" w:rsidRPr="005C38B2" w:rsidRDefault="00580F77" w:rsidP="00580F77">
      <w:pPr>
        <w:spacing w:after="0" w:line="240" w:lineRule="auto"/>
        <w:ind w:hanging="2"/>
        <w:jc w:val="both"/>
        <w:rPr>
          <w:b/>
          <w:bCs/>
          <w:lang w:val="ro-MD"/>
        </w:rPr>
      </w:pPr>
      <w:r w:rsidRPr="005C38B2">
        <w:rPr>
          <w:b/>
          <w:bCs/>
          <w:lang w:val="ro-MD"/>
        </w:rPr>
        <w:t>Art.14. Alte responsabilități ale beneficiarului</w:t>
      </w:r>
    </w:p>
    <w:p w14:paraId="12723E78" w14:textId="77777777" w:rsidR="00580F77" w:rsidRPr="005C38B2" w:rsidRDefault="00580F77" w:rsidP="00580F77">
      <w:pPr>
        <w:spacing w:after="0" w:line="240" w:lineRule="auto"/>
        <w:ind w:hanging="2"/>
        <w:jc w:val="both"/>
        <w:rPr>
          <w:lang w:val="ro-MD"/>
        </w:rPr>
      </w:pPr>
      <w:r w:rsidRPr="005C38B2">
        <w:rPr>
          <w:lang w:val="ro-MD"/>
        </w:rPr>
        <w:t>14.1. Beneficiarul se obligă să pună la dispoziția Prestatorului orice informații pe care le consideră necesare îndeplinirii contractului.</w:t>
      </w:r>
    </w:p>
    <w:p w14:paraId="43D335F8" w14:textId="77777777" w:rsidR="00580F77" w:rsidRPr="005C38B2" w:rsidRDefault="00580F77" w:rsidP="00580F77">
      <w:pPr>
        <w:spacing w:after="0" w:line="240" w:lineRule="auto"/>
        <w:ind w:hanging="2"/>
        <w:jc w:val="both"/>
        <w:rPr>
          <w:b/>
          <w:bCs/>
          <w:lang w:val="ro-MD"/>
        </w:rPr>
      </w:pPr>
    </w:p>
    <w:p w14:paraId="18CA43A9" w14:textId="77777777" w:rsidR="00580F77" w:rsidRPr="005C38B2" w:rsidRDefault="00580F77" w:rsidP="00580F77">
      <w:pPr>
        <w:spacing w:after="0" w:line="240" w:lineRule="auto"/>
        <w:ind w:hanging="2"/>
        <w:jc w:val="both"/>
        <w:rPr>
          <w:b/>
          <w:bCs/>
          <w:lang w:val="ro-MD"/>
        </w:rPr>
      </w:pPr>
      <w:r w:rsidRPr="005C38B2">
        <w:rPr>
          <w:b/>
          <w:bCs/>
          <w:lang w:val="ro-MD"/>
        </w:rPr>
        <w:t xml:space="preserve">Art.15. Recepție </w:t>
      </w:r>
      <w:proofErr w:type="spellStart"/>
      <w:r w:rsidRPr="005C38B2">
        <w:rPr>
          <w:b/>
          <w:bCs/>
          <w:lang w:val="ro-MD"/>
        </w:rPr>
        <w:t>şi</w:t>
      </w:r>
      <w:proofErr w:type="spellEnd"/>
      <w:r w:rsidRPr="005C38B2">
        <w:rPr>
          <w:b/>
          <w:bCs/>
          <w:lang w:val="ro-MD"/>
        </w:rPr>
        <w:t xml:space="preserve"> verificări </w:t>
      </w:r>
    </w:p>
    <w:p w14:paraId="229278B2" w14:textId="77777777" w:rsidR="00580F77" w:rsidRPr="005C38B2" w:rsidRDefault="00580F77" w:rsidP="00580F77">
      <w:pPr>
        <w:spacing w:after="0" w:line="240" w:lineRule="auto"/>
        <w:ind w:hanging="2"/>
        <w:jc w:val="both"/>
        <w:rPr>
          <w:lang w:val="ro-MD"/>
        </w:rPr>
      </w:pPr>
      <w:r w:rsidRPr="005C38B2">
        <w:rPr>
          <w:lang w:val="ro-MD"/>
        </w:rPr>
        <w:t xml:space="preserve">15.1. Beneficiarul are dreptul de a verifica modul de prestare a serviciilor pentru a stabili conformitatea lor cu prevederile contractuale. </w:t>
      </w:r>
    </w:p>
    <w:p w14:paraId="682D1762" w14:textId="19A17CB0" w:rsidR="00580F77" w:rsidRPr="005C38B2" w:rsidRDefault="00580F77" w:rsidP="00580F77">
      <w:pPr>
        <w:spacing w:after="0" w:line="240" w:lineRule="auto"/>
        <w:ind w:hanging="2"/>
        <w:jc w:val="both"/>
        <w:rPr>
          <w:lang w:val="ro-MD"/>
        </w:rPr>
      </w:pPr>
      <w:r w:rsidRPr="005C38B2">
        <w:rPr>
          <w:lang w:val="ro-MD"/>
        </w:rPr>
        <w:t xml:space="preserve">15.2. Recepția serviciilor prestate se va face pe bază de </w:t>
      </w:r>
      <w:r w:rsidR="003E4252" w:rsidRPr="005C38B2">
        <w:rPr>
          <w:lang w:val="ro-MD"/>
        </w:rPr>
        <w:t>Act</w:t>
      </w:r>
      <w:r w:rsidRPr="005C38B2">
        <w:rPr>
          <w:lang w:val="ro-MD"/>
        </w:rPr>
        <w:t xml:space="preserve"> de </w:t>
      </w:r>
      <w:r w:rsidR="009712B9" w:rsidRPr="005C38B2">
        <w:rPr>
          <w:lang w:val="ro-MD"/>
        </w:rPr>
        <w:t>predare-primire</w:t>
      </w:r>
      <w:r w:rsidRPr="005C38B2">
        <w:rPr>
          <w:lang w:val="ro-MD"/>
        </w:rPr>
        <w:t>.</w:t>
      </w:r>
    </w:p>
    <w:p w14:paraId="24E6F8D3" w14:textId="77777777" w:rsidR="00580F77" w:rsidRPr="005C38B2" w:rsidRDefault="00580F77" w:rsidP="00580F77">
      <w:pPr>
        <w:spacing w:after="0" w:line="240" w:lineRule="auto"/>
        <w:ind w:hanging="2"/>
        <w:jc w:val="both"/>
        <w:rPr>
          <w:lang w:val="ro-MD"/>
        </w:rPr>
      </w:pPr>
    </w:p>
    <w:p w14:paraId="4BE4718C" w14:textId="77777777" w:rsidR="00580F77" w:rsidRPr="005C38B2" w:rsidRDefault="00580F77" w:rsidP="00580F77">
      <w:pPr>
        <w:spacing w:after="0" w:line="240" w:lineRule="auto"/>
        <w:ind w:hanging="2"/>
        <w:jc w:val="both"/>
        <w:rPr>
          <w:b/>
          <w:bCs/>
          <w:lang w:val="ro-MD"/>
        </w:rPr>
      </w:pPr>
      <w:r w:rsidRPr="005C38B2">
        <w:rPr>
          <w:b/>
          <w:bCs/>
          <w:lang w:val="ro-MD"/>
        </w:rPr>
        <w:t xml:space="preserve">Art.16. Începere, finalizare, întârzieri, sistare </w:t>
      </w:r>
    </w:p>
    <w:p w14:paraId="15E4D8DC" w14:textId="77777777" w:rsidR="00580F77" w:rsidRPr="005C38B2" w:rsidRDefault="00580F77" w:rsidP="00580F77">
      <w:pPr>
        <w:spacing w:after="0" w:line="240" w:lineRule="auto"/>
        <w:ind w:hanging="2"/>
        <w:jc w:val="both"/>
        <w:rPr>
          <w:lang w:val="ro-MD"/>
        </w:rPr>
      </w:pPr>
      <w:r w:rsidRPr="005C38B2">
        <w:rPr>
          <w:lang w:val="ro-MD"/>
        </w:rPr>
        <w:lastRenderedPageBreak/>
        <w:t>16.1. Prestatorul are obligația de a îndeplini contractul de prestare servicii conform graficului din cererea de ofertă;</w:t>
      </w:r>
    </w:p>
    <w:p w14:paraId="076030F7" w14:textId="77777777" w:rsidR="00580F77" w:rsidRPr="005C38B2" w:rsidRDefault="00580F77" w:rsidP="00580F77">
      <w:pPr>
        <w:spacing w:after="0" w:line="240" w:lineRule="auto"/>
        <w:ind w:hanging="2"/>
        <w:jc w:val="both"/>
        <w:rPr>
          <w:lang w:val="ro-MD"/>
        </w:rPr>
      </w:pPr>
      <w:r w:rsidRPr="005C38B2">
        <w:rPr>
          <w:lang w:val="ro-MD"/>
        </w:rPr>
        <w:t xml:space="preserve">16.2. Dacă pe parcursul îndeplinirii contractului, apare un caz de forță majoră sau la solicitarea Beneficiarului se solicită modificarea perioadei de derulare a unui eveniment, ambii au obligația de a notifica acest lucru, în timp util. Modificarea datei/ perioadelor de derulare evenimente/cursuri se face cu acordul pârților, prin act adițional. </w:t>
      </w:r>
    </w:p>
    <w:p w14:paraId="10431A52" w14:textId="77777777" w:rsidR="00580F77" w:rsidRPr="005C38B2" w:rsidRDefault="00580F77" w:rsidP="00580F77">
      <w:pPr>
        <w:spacing w:after="0" w:line="240" w:lineRule="auto"/>
        <w:ind w:hanging="2"/>
        <w:jc w:val="both"/>
        <w:rPr>
          <w:lang w:val="ro-MD"/>
        </w:rPr>
      </w:pPr>
      <w:r w:rsidRPr="005C38B2">
        <w:rPr>
          <w:lang w:val="ro-MD"/>
        </w:rPr>
        <w:t xml:space="preserve">16.3. În afara cazului în care beneficiarul este de acord cu o prelungire a termenului de prestare, orice întârziere în îndeplinirea contractului dă dreptul beneficiarului de a solicita penalități prestatorului în valoare de 0,1% din valoarea contractului pentru fiecare zi de întârziere. </w:t>
      </w:r>
    </w:p>
    <w:p w14:paraId="7955842B" w14:textId="77777777" w:rsidR="00580F77" w:rsidRPr="005C38B2" w:rsidRDefault="00580F77" w:rsidP="00580F77">
      <w:pPr>
        <w:spacing w:after="0" w:line="240" w:lineRule="auto"/>
        <w:ind w:hanging="2"/>
        <w:jc w:val="both"/>
        <w:rPr>
          <w:lang w:val="ro-MD"/>
        </w:rPr>
      </w:pPr>
    </w:p>
    <w:p w14:paraId="60BC514B" w14:textId="77777777" w:rsidR="00580F77" w:rsidRPr="005C38B2" w:rsidRDefault="00580F77" w:rsidP="00580F77">
      <w:pPr>
        <w:spacing w:after="0" w:line="240" w:lineRule="auto"/>
        <w:ind w:hanging="2"/>
        <w:jc w:val="both"/>
        <w:rPr>
          <w:b/>
          <w:bCs/>
          <w:lang w:val="ro-MD"/>
        </w:rPr>
      </w:pPr>
      <w:r w:rsidRPr="005C38B2">
        <w:rPr>
          <w:b/>
          <w:bCs/>
          <w:lang w:val="ro-MD"/>
        </w:rPr>
        <w:t xml:space="preserve">Art.17. Ajustarea prețului contractului </w:t>
      </w:r>
    </w:p>
    <w:p w14:paraId="338784D6" w14:textId="77777777" w:rsidR="00580F77" w:rsidRPr="005C38B2" w:rsidRDefault="00580F77" w:rsidP="00580F77">
      <w:pPr>
        <w:spacing w:after="0" w:line="240" w:lineRule="auto"/>
        <w:ind w:hanging="2"/>
        <w:jc w:val="both"/>
        <w:rPr>
          <w:lang w:val="ro-MD"/>
        </w:rPr>
      </w:pPr>
      <w:r w:rsidRPr="005C38B2">
        <w:rPr>
          <w:lang w:val="ro-MD"/>
        </w:rPr>
        <w:t xml:space="preserve">17.1. Prețul contractului nu se ajustează. </w:t>
      </w:r>
    </w:p>
    <w:p w14:paraId="70FFD05E" w14:textId="77777777" w:rsidR="00580F77" w:rsidRPr="005C38B2" w:rsidRDefault="00580F77" w:rsidP="00580F77">
      <w:pPr>
        <w:spacing w:after="0" w:line="240" w:lineRule="auto"/>
        <w:ind w:hanging="2"/>
        <w:jc w:val="both"/>
        <w:rPr>
          <w:lang w:val="ro-MD"/>
        </w:rPr>
      </w:pPr>
      <w:r w:rsidRPr="005C38B2">
        <w:rPr>
          <w:lang w:val="ro-MD"/>
        </w:rPr>
        <w:t xml:space="preserve">17.2. Valoarea serviciilor prestate sunt cele menționate în oferta </w:t>
      </w:r>
      <w:proofErr w:type="spellStart"/>
      <w:r w:rsidRPr="005C38B2">
        <w:rPr>
          <w:lang w:val="ro-MD"/>
        </w:rPr>
        <w:t>tehnico</w:t>
      </w:r>
      <w:proofErr w:type="spellEnd"/>
      <w:r w:rsidRPr="005C38B2">
        <w:rPr>
          <w:lang w:val="ro-MD"/>
        </w:rPr>
        <w:t>-financiară a prestatorului.</w:t>
      </w:r>
    </w:p>
    <w:p w14:paraId="20E9A30E" w14:textId="77777777" w:rsidR="00580F77" w:rsidRPr="005C38B2" w:rsidRDefault="00580F77" w:rsidP="00580F77">
      <w:pPr>
        <w:spacing w:after="0" w:line="240" w:lineRule="auto"/>
        <w:ind w:hanging="2"/>
        <w:jc w:val="both"/>
        <w:rPr>
          <w:b/>
          <w:bCs/>
          <w:lang w:val="ro-MD"/>
        </w:rPr>
      </w:pPr>
    </w:p>
    <w:p w14:paraId="3E212222" w14:textId="77777777" w:rsidR="00580F77" w:rsidRPr="005C38B2" w:rsidRDefault="00580F77" w:rsidP="00580F77">
      <w:pPr>
        <w:spacing w:after="0" w:line="240" w:lineRule="auto"/>
        <w:ind w:hanging="2"/>
        <w:jc w:val="both"/>
        <w:rPr>
          <w:b/>
          <w:bCs/>
          <w:lang w:val="ro-MD"/>
        </w:rPr>
      </w:pPr>
      <w:r w:rsidRPr="005C38B2">
        <w:rPr>
          <w:b/>
          <w:bCs/>
          <w:lang w:val="ro-MD"/>
        </w:rPr>
        <w:t xml:space="preserve">Art.18. Amendamente </w:t>
      </w:r>
    </w:p>
    <w:p w14:paraId="18274839" w14:textId="63391A64" w:rsidR="00580F77" w:rsidRPr="005C38B2" w:rsidRDefault="00580F77" w:rsidP="00580F77">
      <w:pPr>
        <w:spacing w:after="0" w:line="240" w:lineRule="auto"/>
        <w:ind w:hanging="2"/>
        <w:jc w:val="both"/>
        <w:rPr>
          <w:lang w:val="ro-MD"/>
        </w:rPr>
      </w:pPr>
      <w:r w:rsidRPr="005C38B2">
        <w:rPr>
          <w:lang w:val="ro-MD"/>
        </w:rPr>
        <w:t>18.1. P</w:t>
      </w:r>
      <w:r w:rsidR="008901B1" w:rsidRPr="005C38B2">
        <w:rPr>
          <w:lang w:val="ro-MD"/>
        </w:rPr>
        <w:t>ă</w:t>
      </w:r>
      <w:r w:rsidRPr="005C38B2">
        <w:rPr>
          <w:lang w:val="ro-MD"/>
        </w:rPr>
        <w:t xml:space="preserve">rțile contractante au dreptul, pe durata îndeplinirii contractului, de a conveni modificarea clauzelor contractului, prin act adițional. </w:t>
      </w:r>
    </w:p>
    <w:p w14:paraId="360A6C54" w14:textId="77777777" w:rsidR="00580F77" w:rsidRPr="005C38B2" w:rsidRDefault="00580F77" w:rsidP="00580F77">
      <w:pPr>
        <w:spacing w:after="0" w:line="240" w:lineRule="auto"/>
        <w:ind w:hanging="2"/>
        <w:jc w:val="both"/>
        <w:rPr>
          <w:lang w:val="ro-MD"/>
        </w:rPr>
      </w:pPr>
    </w:p>
    <w:p w14:paraId="48EAA024" w14:textId="77777777" w:rsidR="00580F77" w:rsidRPr="005C38B2" w:rsidRDefault="00580F77" w:rsidP="00580F77">
      <w:pPr>
        <w:spacing w:after="0" w:line="240" w:lineRule="auto"/>
        <w:ind w:hanging="2"/>
        <w:jc w:val="both"/>
        <w:rPr>
          <w:b/>
          <w:bCs/>
          <w:lang w:val="ro-MD"/>
        </w:rPr>
      </w:pPr>
      <w:r w:rsidRPr="005C38B2">
        <w:rPr>
          <w:b/>
          <w:bCs/>
          <w:lang w:val="ro-MD"/>
        </w:rPr>
        <w:t xml:space="preserve">Art. 19. Forța majoră </w:t>
      </w:r>
    </w:p>
    <w:p w14:paraId="6C0E65CF" w14:textId="77777777" w:rsidR="00580F77" w:rsidRPr="005C38B2" w:rsidRDefault="00580F77" w:rsidP="00580F77">
      <w:pPr>
        <w:spacing w:after="0" w:line="240" w:lineRule="auto"/>
        <w:ind w:hanging="2"/>
        <w:jc w:val="both"/>
        <w:rPr>
          <w:lang w:val="ro-MD"/>
        </w:rPr>
      </w:pPr>
      <w:r w:rsidRPr="005C38B2">
        <w:rPr>
          <w:lang w:val="ro-MD"/>
        </w:rPr>
        <w:t xml:space="preserve">19.1. Forța majoră este constatată de o autoritate competentă. </w:t>
      </w:r>
    </w:p>
    <w:p w14:paraId="7F64A324" w14:textId="77777777" w:rsidR="00580F77" w:rsidRPr="005C38B2" w:rsidRDefault="00580F77" w:rsidP="00580F77">
      <w:pPr>
        <w:spacing w:after="0" w:line="240" w:lineRule="auto"/>
        <w:ind w:hanging="2"/>
        <w:jc w:val="both"/>
        <w:rPr>
          <w:lang w:val="ro-MD"/>
        </w:rPr>
      </w:pPr>
      <w:r w:rsidRPr="005C38B2">
        <w:rPr>
          <w:lang w:val="ro-MD"/>
        </w:rPr>
        <w:t xml:space="preserve">19.2. Forța majoră exonerează pârțile contractante de îndeplinirea obligațiilor asumate prin prezentul contract, pe toată perioada în care aceasta acționează. </w:t>
      </w:r>
    </w:p>
    <w:p w14:paraId="52D3A07A" w14:textId="77777777" w:rsidR="00580F77" w:rsidRPr="005C38B2" w:rsidRDefault="00580F77" w:rsidP="00580F77">
      <w:pPr>
        <w:spacing w:after="0" w:line="240" w:lineRule="auto"/>
        <w:ind w:hanging="2"/>
        <w:jc w:val="both"/>
        <w:rPr>
          <w:lang w:val="ro-MD"/>
        </w:rPr>
      </w:pPr>
      <w:r w:rsidRPr="005C38B2">
        <w:rPr>
          <w:lang w:val="ro-MD"/>
        </w:rPr>
        <w:t xml:space="preserve">19.3. Îndeplinirea contractului va fi suspendată în perioada de acțiune a forței majore, dar fără a prejudicia drepturile ce li se cuveneau pârților până la apariția acesteia. </w:t>
      </w:r>
    </w:p>
    <w:p w14:paraId="1BC040AA" w14:textId="77777777" w:rsidR="00580F77" w:rsidRPr="005C38B2" w:rsidRDefault="00580F77" w:rsidP="00580F77">
      <w:pPr>
        <w:spacing w:after="0" w:line="240" w:lineRule="auto"/>
        <w:ind w:hanging="2"/>
        <w:jc w:val="both"/>
        <w:rPr>
          <w:lang w:val="ro-MD"/>
        </w:rPr>
      </w:pPr>
      <w:r w:rsidRPr="005C38B2">
        <w:rPr>
          <w:lang w:val="ro-MD"/>
        </w:rPr>
        <w:t xml:space="preserve">19.4. Partea contractantă care invocă forța majoră are obligația de a notifica celeilalte pârți, imediat </w:t>
      </w:r>
      <w:proofErr w:type="spellStart"/>
      <w:r w:rsidRPr="005C38B2">
        <w:rPr>
          <w:lang w:val="ro-MD"/>
        </w:rPr>
        <w:t>şi</w:t>
      </w:r>
      <w:proofErr w:type="spellEnd"/>
      <w:r w:rsidRPr="005C38B2">
        <w:rPr>
          <w:lang w:val="ro-MD"/>
        </w:rPr>
        <w:t xml:space="preserve"> în mod complet, producerea acesteia </w:t>
      </w:r>
      <w:proofErr w:type="spellStart"/>
      <w:r w:rsidRPr="005C38B2">
        <w:rPr>
          <w:lang w:val="ro-MD"/>
        </w:rPr>
        <w:t>şi</w:t>
      </w:r>
      <w:proofErr w:type="spellEnd"/>
      <w:r w:rsidRPr="005C38B2">
        <w:rPr>
          <w:lang w:val="ro-MD"/>
        </w:rPr>
        <w:t xml:space="preserve"> să ia orice măsuri care îi stau la dispoziție în vederea limitării consecințelor. </w:t>
      </w:r>
    </w:p>
    <w:p w14:paraId="397D7327" w14:textId="77777777" w:rsidR="00580F77" w:rsidRPr="005C38B2" w:rsidRDefault="00580F77" w:rsidP="00580F77">
      <w:pPr>
        <w:spacing w:after="0" w:line="240" w:lineRule="auto"/>
        <w:ind w:hanging="2"/>
        <w:jc w:val="both"/>
        <w:rPr>
          <w:lang w:val="ro-MD"/>
        </w:rPr>
      </w:pPr>
    </w:p>
    <w:p w14:paraId="1CB77E41" w14:textId="77777777" w:rsidR="00580F77" w:rsidRPr="005C38B2" w:rsidRDefault="00580F77" w:rsidP="00580F77">
      <w:pPr>
        <w:spacing w:after="0" w:line="240" w:lineRule="auto"/>
        <w:ind w:hanging="2"/>
        <w:jc w:val="both"/>
        <w:rPr>
          <w:b/>
          <w:bCs/>
          <w:lang w:val="ro-MD"/>
        </w:rPr>
      </w:pPr>
      <w:r w:rsidRPr="005C38B2">
        <w:rPr>
          <w:b/>
          <w:bCs/>
          <w:lang w:val="ro-MD"/>
        </w:rPr>
        <w:t xml:space="preserve">Art.20. Soluționarea litigiilor </w:t>
      </w:r>
    </w:p>
    <w:p w14:paraId="46734A58" w14:textId="77777777" w:rsidR="00580F77" w:rsidRPr="005C38B2" w:rsidRDefault="00580F77" w:rsidP="00580F77">
      <w:pPr>
        <w:spacing w:after="0" w:line="240" w:lineRule="auto"/>
        <w:ind w:hanging="2"/>
        <w:jc w:val="both"/>
        <w:rPr>
          <w:lang w:val="ro-MD"/>
        </w:rPr>
      </w:pPr>
      <w:r w:rsidRPr="005C38B2">
        <w:rPr>
          <w:lang w:val="ro-MD"/>
        </w:rPr>
        <w:t xml:space="preserve">20.1. Beneficiarul și Prestatorul vor depune toate eforturile pentru a rezolva pe cale amiabilă, prin tratative directe, orice neînțelegere sau dispută care se poate ivi între ei în cadrul sau în legătură cu îndeplinirea contractului. </w:t>
      </w:r>
    </w:p>
    <w:p w14:paraId="4FF7FDCA" w14:textId="0F87C26E" w:rsidR="00580F77" w:rsidRPr="005C38B2" w:rsidRDefault="00580F77" w:rsidP="00580F77">
      <w:pPr>
        <w:spacing w:after="0" w:line="240" w:lineRule="auto"/>
        <w:ind w:hanging="2"/>
        <w:jc w:val="both"/>
        <w:rPr>
          <w:lang w:val="ro-MD"/>
        </w:rPr>
      </w:pPr>
      <w:r w:rsidRPr="005C38B2">
        <w:rPr>
          <w:lang w:val="ro-MD"/>
        </w:rPr>
        <w:t xml:space="preserve">20.2. Dacă, după 15 zile de la începerea acestor tratative, beneficiarul și prestatorul nu reușesc să rezolve în mod amiabil o divergență contractuală, fiecare poate solicita ca disputa să se soluționeze </w:t>
      </w:r>
      <w:r w:rsidR="00751BFB" w:rsidRPr="005C38B2">
        <w:rPr>
          <w:lang w:val="ro-MD"/>
        </w:rPr>
        <w:t>în conformitatea cu prevederile legislației în vigoare</w:t>
      </w:r>
      <w:r w:rsidRPr="005C38B2">
        <w:rPr>
          <w:lang w:val="ro-MD"/>
        </w:rPr>
        <w:t xml:space="preserve"> din </w:t>
      </w:r>
      <w:r w:rsidR="008901B1" w:rsidRPr="005C38B2">
        <w:rPr>
          <w:lang w:val="ro-MD"/>
        </w:rPr>
        <w:t>Republica Moldova</w:t>
      </w:r>
      <w:r w:rsidRPr="005C38B2">
        <w:rPr>
          <w:lang w:val="ro-MD"/>
        </w:rPr>
        <w:t>.</w:t>
      </w:r>
    </w:p>
    <w:p w14:paraId="77D016D4" w14:textId="77777777" w:rsidR="00580F77" w:rsidRPr="005C38B2" w:rsidRDefault="00580F77" w:rsidP="00580F77">
      <w:pPr>
        <w:spacing w:after="0" w:line="240" w:lineRule="auto"/>
        <w:jc w:val="both"/>
        <w:rPr>
          <w:lang w:val="ro-MD"/>
        </w:rPr>
      </w:pPr>
    </w:p>
    <w:p w14:paraId="0508CB2A" w14:textId="77777777" w:rsidR="00580F77" w:rsidRPr="005C38B2" w:rsidRDefault="00580F77" w:rsidP="00580F77">
      <w:pPr>
        <w:spacing w:after="0" w:line="240" w:lineRule="auto"/>
        <w:ind w:hanging="2"/>
        <w:jc w:val="both"/>
        <w:rPr>
          <w:b/>
          <w:bCs/>
          <w:lang w:val="ro-MD"/>
        </w:rPr>
      </w:pPr>
      <w:r w:rsidRPr="005C38B2">
        <w:rPr>
          <w:b/>
          <w:bCs/>
          <w:lang w:val="ro-MD"/>
        </w:rPr>
        <w:t xml:space="preserve">Art.21. Limba care guvernează contractul </w:t>
      </w:r>
    </w:p>
    <w:p w14:paraId="3D66BF62" w14:textId="77777777" w:rsidR="00580F77" w:rsidRPr="005C38B2" w:rsidRDefault="00580F77" w:rsidP="00580F77">
      <w:pPr>
        <w:spacing w:after="0" w:line="240" w:lineRule="auto"/>
        <w:ind w:hanging="2"/>
        <w:jc w:val="both"/>
        <w:rPr>
          <w:lang w:val="ro-MD"/>
        </w:rPr>
      </w:pPr>
      <w:r w:rsidRPr="005C38B2">
        <w:rPr>
          <w:lang w:val="ro-MD"/>
        </w:rPr>
        <w:t>21.1. Limba care guvernează contractul este limba română.</w:t>
      </w:r>
    </w:p>
    <w:p w14:paraId="29C8E420" w14:textId="77777777" w:rsidR="00580F77" w:rsidRPr="005C38B2" w:rsidRDefault="00580F77" w:rsidP="00580F77">
      <w:pPr>
        <w:spacing w:after="0" w:line="240" w:lineRule="auto"/>
        <w:ind w:hanging="2"/>
        <w:jc w:val="both"/>
        <w:rPr>
          <w:lang w:val="ro-MD"/>
        </w:rPr>
      </w:pPr>
    </w:p>
    <w:p w14:paraId="1AE46B15" w14:textId="77777777" w:rsidR="00580F77" w:rsidRPr="005C38B2" w:rsidRDefault="00580F77" w:rsidP="00580F77">
      <w:pPr>
        <w:spacing w:after="0" w:line="240" w:lineRule="auto"/>
        <w:ind w:hanging="2"/>
        <w:jc w:val="both"/>
        <w:rPr>
          <w:b/>
          <w:bCs/>
          <w:lang w:val="ro-MD"/>
        </w:rPr>
      </w:pPr>
      <w:r w:rsidRPr="005C38B2">
        <w:rPr>
          <w:b/>
          <w:bCs/>
          <w:lang w:val="ro-MD"/>
        </w:rPr>
        <w:t xml:space="preserve">Art. 22. Clauze generale referitoare la protecția datelor cu caracter personal  </w:t>
      </w:r>
    </w:p>
    <w:p w14:paraId="47ECB4BC" w14:textId="663AAB15" w:rsidR="00580F77" w:rsidRPr="005C38B2" w:rsidRDefault="00580F77" w:rsidP="00580F77">
      <w:pPr>
        <w:spacing w:after="0" w:line="240" w:lineRule="auto"/>
        <w:ind w:hanging="2"/>
        <w:jc w:val="both"/>
        <w:rPr>
          <w:lang w:val="ro-MD"/>
        </w:rPr>
      </w:pPr>
      <w:r w:rsidRPr="005C38B2">
        <w:rPr>
          <w:lang w:val="ro-MD"/>
        </w:rPr>
        <w:t xml:space="preserve">22.1. </w:t>
      </w:r>
      <w:r w:rsidR="00973717" w:rsidRPr="005C38B2">
        <w:rPr>
          <w:lang w:val="ro-MD"/>
        </w:rPr>
        <w:t>A.O. Keystone Moldova</w:t>
      </w:r>
      <w:r w:rsidRPr="005C38B2">
        <w:rPr>
          <w:lang w:val="ro-MD"/>
        </w:rPr>
        <w:t xml:space="preserve"> colectează și prelucrează datele personale ale Prestatorului în conformitate cu legislația în vigoare, în modalități care asigură confidențialitatea și securitatea adecvată a acestor date, în vederea asigurării protecției împotriva prelucrării neautorizate sau ilegale și împotriva pierderii, a distrugerii sau a deteriorării accidentale. </w:t>
      </w:r>
    </w:p>
    <w:p w14:paraId="5EDE5B4C" w14:textId="1DC3D1AD" w:rsidR="00580F77" w:rsidRPr="005C38B2" w:rsidRDefault="00580F77" w:rsidP="00580F77">
      <w:pPr>
        <w:spacing w:after="0" w:line="240" w:lineRule="auto"/>
        <w:ind w:hanging="2"/>
        <w:jc w:val="both"/>
        <w:rPr>
          <w:lang w:val="ro-MD"/>
        </w:rPr>
      </w:pPr>
      <w:r w:rsidRPr="005C38B2">
        <w:rPr>
          <w:lang w:val="ro-MD"/>
        </w:rPr>
        <w:t xml:space="preserve">22.2. În procesul de prelucrare </w:t>
      </w:r>
      <w:r w:rsidR="00933CB3" w:rsidRPr="005C38B2">
        <w:rPr>
          <w:lang w:val="ro-MD"/>
        </w:rPr>
        <w:t xml:space="preserve">și păstrare </w:t>
      </w:r>
      <w:r w:rsidRPr="005C38B2">
        <w:rPr>
          <w:lang w:val="ro-MD"/>
        </w:rPr>
        <w:t xml:space="preserve">a datelor cu caracter personal, </w:t>
      </w:r>
      <w:r w:rsidR="00B91AA8" w:rsidRPr="005C38B2">
        <w:rPr>
          <w:lang w:val="ro-MD"/>
        </w:rPr>
        <w:t>A.O. Keystone Moldova</w:t>
      </w:r>
      <w:r w:rsidRPr="005C38B2">
        <w:rPr>
          <w:lang w:val="ro-MD"/>
        </w:rPr>
        <w:t xml:space="preserve"> aplică prevederile </w:t>
      </w:r>
      <w:r w:rsidR="00B91AA8" w:rsidRPr="005C38B2">
        <w:rPr>
          <w:lang w:val="ro-MD"/>
        </w:rPr>
        <w:t xml:space="preserve">Legii 133 din 08/07/2011 privind protecția </w:t>
      </w:r>
      <w:r w:rsidRPr="005C38B2">
        <w:rPr>
          <w:lang w:val="ro-MD"/>
        </w:rPr>
        <w:t>datelor cu caracter personal.</w:t>
      </w:r>
    </w:p>
    <w:p w14:paraId="13616BFF" w14:textId="16D8ADB1" w:rsidR="00580F77" w:rsidRPr="005C38B2" w:rsidRDefault="00580F77" w:rsidP="00580F77">
      <w:pPr>
        <w:spacing w:after="0" w:line="240" w:lineRule="auto"/>
        <w:ind w:hanging="2"/>
        <w:jc w:val="both"/>
        <w:rPr>
          <w:lang w:val="ro-MD"/>
        </w:rPr>
      </w:pPr>
      <w:r w:rsidRPr="005C38B2">
        <w:rPr>
          <w:lang w:val="ro-MD"/>
        </w:rPr>
        <w:t xml:space="preserve">22.3. Scopul prelucrării: Datele cu caracter personal ale Prestatorului vor fi prelucrate în acord cu cerințele programului de finanțare. </w:t>
      </w:r>
    </w:p>
    <w:p w14:paraId="634FF080" w14:textId="65BF11CE" w:rsidR="00580F77" w:rsidRPr="005C38B2" w:rsidRDefault="00580F77" w:rsidP="00580F77">
      <w:pPr>
        <w:spacing w:after="0" w:line="240" w:lineRule="auto"/>
        <w:ind w:hanging="2"/>
        <w:jc w:val="both"/>
        <w:rPr>
          <w:lang w:val="ro-MD"/>
        </w:rPr>
      </w:pPr>
    </w:p>
    <w:p w14:paraId="0CCA509F" w14:textId="77777777" w:rsidR="00580F77" w:rsidRPr="005C38B2" w:rsidRDefault="00580F77" w:rsidP="00580F77">
      <w:pPr>
        <w:spacing w:after="0" w:line="240" w:lineRule="auto"/>
        <w:ind w:hanging="2"/>
        <w:jc w:val="both"/>
        <w:rPr>
          <w:lang w:val="ro-MD"/>
        </w:rPr>
      </w:pPr>
    </w:p>
    <w:p w14:paraId="4E677FDF" w14:textId="77777777" w:rsidR="005A7075" w:rsidRPr="005C38B2" w:rsidRDefault="005A7075" w:rsidP="00580F77">
      <w:pPr>
        <w:spacing w:after="0" w:line="240" w:lineRule="auto"/>
        <w:rPr>
          <w:lang w:val="ro-MD"/>
        </w:rPr>
      </w:pPr>
    </w:p>
    <w:p w14:paraId="73A174BC" w14:textId="77777777" w:rsidR="005A7075" w:rsidRPr="005C38B2" w:rsidRDefault="005A7075" w:rsidP="00580F77">
      <w:pPr>
        <w:spacing w:after="0" w:line="240" w:lineRule="auto"/>
        <w:rPr>
          <w:lang w:val="ro-MD"/>
        </w:rPr>
      </w:pPr>
    </w:p>
    <w:p w14:paraId="55C1FD83" w14:textId="3438F568" w:rsidR="00580F77" w:rsidRPr="005C38B2" w:rsidRDefault="00580F77" w:rsidP="00580F77">
      <w:pPr>
        <w:spacing w:after="0" w:line="240" w:lineRule="auto"/>
        <w:rPr>
          <w:lang w:val="ro-MD"/>
        </w:rPr>
      </w:pPr>
      <w:r w:rsidRPr="005C38B2">
        <w:rPr>
          <w:lang w:val="ro-MD"/>
        </w:rPr>
        <w:lastRenderedPageBreak/>
        <w:t xml:space="preserve">                                 </w:t>
      </w:r>
    </w:p>
    <w:p w14:paraId="5960CCA5" w14:textId="77777777" w:rsidR="004D5396" w:rsidRPr="005C38B2" w:rsidRDefault="004D5396" w:rsidP="00580F77">
      <w:pPr>
        <w:spacing w:after="0" w:line="240" w:lineRule="auto"/>
        <w:ind w:hanging="2"/>
        <w:rPr>
          <w:b/>
          <w:bCs/>
          <w:lang w:val="ro-MD"/>
        </w:rPr>
      </w:pPr>
      <w:bookmarkStart w:id="3" w:name="_GoBack"/>
      <w:bookmarkEnd w:id="3"/>
    </w:p>
    <w:tbl>
      <w:tblPr>
        <w:tblStyle w:val="TableGrid"/>
        <w:tblW w:w="0" w:type="auto"/>
        <w:tblLook w:val="04A0" w:firstRow="1" w:lastRow="0" w:firstColumn="1" w:lastColumn="0" w:noHBand="0" w:noVBand="1"/>
      </w:tblPr>
      <w:tblGrid>
        <w:gridCol w:w="4839"/>
        <w:gridCol w:w="4840"/>
      </w:tblGrid>
      <w:tr w:rsidR="004D5396" w:rsidRPr="006A34DA" w14:paraId="6AA0488D" w14:textId="77777777" w:rsidTr="00DF282D">
        <w:tc>
          <w:tcPr>
            <w:tcW w:w="4839" w:type="dxa"/>
          </w:tcPr>
          <w:p w14:paraId="7CAEBFD2" w14:textId="77777777" w:rsidR="004D5396" w:rsidRPr="005C38B2" w:rsidRDefault="004D5396" w:rsidP="00DF282D">
            <w:pPr>
              <w:ind w:right="-3"/>
              <w:jc w:val="both"/>
              <w:rPr>
                <w:b/>
                <w:color w:val="000000" w:themeColor="text1"/>
                <w:lang w:val="ro-MD"/>
              </w:rPr>
            </w:pPr>
            <w:r w:rsidRPr="005C38B2">
              <w:rPr>
                <w:b/>
                <w:color w:val="000000" w:themeColor="text1"/>
                <w:lang w:val="ro-MD"/>
              </w:rPr>
              <w:t>BENEFICIAR</w:t>
            </w:r>
          </w:p>
          <w:p w14:paraId="3F24A11E" w14:textId="77777777" w:rsidR="007B4E42" w:rsidRPr="005C38B2" w:rsidRDefault="007B4E42" w:rsidP="007B4E42">
            <w:pPr>
              <w:jc w:val="both"/>
              <w:rPr>
                <w:rFonts w:ascii="Calibri" w:hAnsi="Calibri" w:cs="Calibri"/>
                <w:lang w:val="ro-RO" w:eastAsia="ro-RO"/>
              </w:rPr>
            </w:pPr>
            <w:r w:rsidRPr="005C38B2">
              <w:rPr>
                <w:rFonts w:ascii="Calibri" w:hAnsi="Calibri" w:cs="Calibri"/>
                <w:lang w:val="ro-RO" w:eastAsia="ro-RO"/>
              </w:rPr>
              <w:t xml:space="preserve">Beneficiar:               </w:t>
            </w:r>
            <w:proofErr w:type="spellStart"/>
            <w:r w:rsidRPr="005C38B2">
              <w:rPr>
                <w:rFonts w:ascii="Calibri" w:hAnsi="Calibri" w:cs="Calibri"/>
                <w:lang w:val="ro-RO" w:eastAsia="ro-RO"/>
              </w:rPr>
              <w:t>A.O.Keystone</w:t>
            </w:r>
            <w:proofErr w:type="spellEnd"/>
            <w:r w:rsidRPr="005C38B2">
              <w:rPr>
                <w:rFonts w:ascii="Calibri" w:hAnsi="Calibri" w:cs="Calibri"/>
                <w:lang w:val="ro-RO" w:eastAsia="ro-RO"/>
              </w:rPr>
              <w:t xml:space="preserve"> Human Services International Moldova Association</w:t>
            </w:r>
          </w:p>
          <w:p w14:paraId="7B45C0E7" w14:textId="591797CD" w:rsidR="007B4E42" w:rsidRPr="005C38B2" w:rsidRDefault="007B4E42" w:rsidP="007B4E42">
            <w:pPr>
              <w:jc w:val="both"/>
              <w:rPr>
                <w:rFonts w:ascii="Calibri" w:hAnsi="Calibri" w:cs="Calibri"/>
                <w:lang w:val="ro-RO" w:eastAsia="ro-RO"/>
              </w:rPr>
            </w:pPr>
            <w:r w:rsidRPr="005C38B2">
              <w:rPr>
                <w:rFonts w:ascii="Calibri" w:hAnsi="Calibri" w:cs="Calibri"/>
                <w:lang w:val="ro-RO" w:eastAsia="ro-RO"/>
              </w:rPr>
              <w:t>Cod fiscal/IDNO:     1011620003730</w:t>
            </w:r>
          </w:p>
          <w:p w14:paraId="3E066949" w14:textId="79277C72" w:rsidR="007B4E42" w:rsidRPr="005C38B2" w:rsidRDefault="007B4E42" w:rsidP="007B4E42">
            <w:pPr>
              <w:jc w:val="both"/>
              <w:rPr>
                <w:rFonts w:ascii="Calibri" w:hAnsi="Calibri" w:cs="Calibri"/>
                <w:lang w:val="ro-RO" w:eastAsia="ro-RO"/>
              </w:rPr>
            </w:pPr>
            <w:r w:rsidRPr="005C38B2">
              <w:rPr>
                <w:rFonts w:ascii="Calibri" w:hAnsi="Calibri" w:cs="Calibri"/>
                <w:lang w:val="ro-RO" w:eastAsia="ro-RO"/>
              </w:rPr>
              <w:t>Cont IBAN MDL:    MD14VI022240800000527MDL</w:t>
            </w:r>
          </w:p>
          <w:p w14:paraId="1701E9AB" w14:textId="7ADE0D9B" w:rsidR="007B4E42" w:rsidRPr="005C38B2" w:rsidRDefault="007B4E42" w:rsidP="007B4E42">
            <w:pPr>
              <w:jc w:val="both"/>
              <w:rPr>
                <w:rFonts w:ascii="Calibri" w:hAnsi="Calibri" w:cs="Calibri"/>
                <w:lang w:val="ro-RO" w:eastAsia="ro-RO"/>
              </w:rPr>
            </w:pPr>
            <w:r w:rsidRPr="005C38B2">
              <w:rPr>
                <w:rFonts w:ascii="Calibri" w:hAnsi="Calibri" w:cs="Calibri"/>
                <w:lang w:val="ro-RO" w:eastAsia="ro-RO"/>
              </w:rPr>
              <w:t>Banca:                     </w:t>
            </w:r>
            <w:proofErr w:type="spellStart"/>
            <w:r w:rsidRPr="005C38B2">
              <w:rPr>
                <w:rFonts w:ascii="Calibri" w:hAnsi="Calibri" w:cs="Calibri"/>
                <w:lang w:val="ro-RO" w:eastAsia="ro-RO"/>
              </w:rPr>
              <w:t>Victoriabank</w:t>
            </w:r>
            <w:proofErr w:type="spellEnd"/>
            <w:r w:rsidRPr="005C38B2">
              <w:rPr>
                <w:rFonts w:ascii="Calibri" w:hAnsi="Calibri" w:cs="Calibri"/>
                <w:lang w:val="ro-RO" w:eastAsia="ro-RO"/>
              </w:rPr>
              <w:t xml:space="preserve"> BCA SA fil.08</w:t>
            </w:r>
          </w:p>
          <w:p w14:paraId="7CCCE869" w14:textId="33BCFE9A" w:rsidR="004D5396" w:rsidRPr="005C38B2" w:rsidRDefault="007B4E42" w:rsidP="007B4E42">
            <w:pPr>
              <w:ind w:right="-3"/>
              <w:jc w:val="both"/>
              <w:rPr>
                <w:rFonts w:ascii="Calibri" w:hAnsi="Calibri" w:cs="Calibri"/>
                <w:b/>
                <w:color w:val="000000" w:themeColor="text1"/>
                <w:lang w:val="ro-MD"/>
              </w:rPr>
            </w:pPr>
            <w:r w:rsidRPr="005C38B2">
              <w:rPr>
                <w:rFonts w:ascii="Calibri" w:hAnsi="Calibri" w:cs="Calibri"/>
                <w:lang w:val="ro-RO" w:eastAsia="ro-RO"/>
              </w:rPr>
              <w:t>Codul băncii:           VICBMD2X802</w:t>
            </w:r>
          </w:p>
          <w:p w14:paraId="5BFD0B77" w14:textId="77777777" w:rsidR="004D5396" w:rsidRPr="005C38B2" w:rsidRDefault="004D5396" w:rsidP="00DF282D">
            <w:pPr>
              <w:ind w:right="-3"/>
              <w:jc w:val="both"/>
              <w:rPr>
                <w:rFonts w:ascii="Calibri" w:hAnsi="Calibri" w:cs="Calibri"/>
                <w:color w:val="000000" w:themeColor="text1"/>
                <w:lang w:val="ro-MD"/>
              </w:rPr>
            </w:pPr>
            <w:r w:rsidRPr="005C38B2">
              <w:rPr>
                <w:rFonts w:ascii="Calibri" w:hAnsi="Calibri" w:cs="Calibri"/>
                <w:color w:val="000000" w:themeColor="text1"/>
                <w:lang w:val="ro-MD"/>
              </w:rPr>
              <w:t xml:space="preserve">mun. </w:t>
            </w:r>
            <w:proofErr w:type="spellStart"/>
            <w:r w:rsidRPr="005C38B2">
              <w:rPr>
                <w:rFonts w:ascii="Calibri" w:hAnsi="Calibri" w:cs="Calibri"/>
                <w:color w:val="000000" w:themeColor="text1"/>
                <w:lang w:val="ro-MD"/>
              </w:rPr>
              <w:t>Chişinău</w:t>
            </w:r>
            <w:proofErr w:type="spellEnd"/>
            <w:r w:rsidRPr="005C38B2">
              <w:rPr>
                <w:rFonts w:ascii="Calibri" w:hAnsi="Calibri" w:cs="Calibri"/>
                <w:color w:val="000000" w:themeColor="text1"/>
                <w:lang w:val="ro-MD"/>
              </w:rPr>
              <w:t xml:space="preserve">, str. </w:t>
            </w:r>
            <w:proofErr w:type="spellStart"/>
            <w:r w:rsidRPr="005C38B2">
              <w:rPr>
                <w:rFonts w:ascii="Calibri" w:hAnsi="Calibri" w:cs="Calibri"/>
                <w:color w:val="000000" w:themeColor="text1"/>
                <w:lang w:val="ro-MD"/>
              </w:rPr>
              <w:t>Crasescu</w:t>
            </w:r>
            <w:proofErr w:type="spellEnd"/>
            <w:r w:rsidRPr="005C38B2">
              <w:rPr>
                <w:rFonts w:ascii="Calibri" w:hAnsi="Calibri" w:cs="Calibri"/>
                <w:color w:val="000000" w:themeColor="text1"/>
                <w:lang w:val="ro-MD"/>
              </w:rPr>
              <w:t xml:space="preserve"> 61</w:t>
            </w:r>
          </w:p>
          <w:p w14:paraId="74802732" w14:textId="77777777" w:rsidR="005C38B2" w:rsidRDefault="005C38B2" w:rsidP="00DF282D">
            <w:pPr>
              <w:ind w:right="-3"/>
              <w:jc w:val="both"/>
              <w:rPr>
                <w:rFonts w:ascii="Calibri" w:hAnsi="Calibri" w:cs="Calibri"/>
                <w:color w:val="000000" w:themeColor="text1"/>
                <w:lang w:val="ro-MD"/>
              </w:rPr>
            </w:pPr>
          </w:p>
          <w:p w14:paraId="26CD996D" w14:textId="77777777" w:rsidR="004D5396" w:rsidRPr="005C38B2" w:rsidRDefault="004D5396" w:rsidP="00DF282D">
            <w:pPr>
              <w:ind w:right="-3"/>
              <w:jc w:val="both"/>
              <w:rPr>
                <w:rFonts w:ascii="Calibri" w:hAnsi="Calibri" w:cs="Calibri"/>
                <w:color w:val="000000" w:themeColor="text1"/>
                <w:lang w:val="ro-MD"/>
              </w:rPr>
            </w:pPr>
            <w:r w:rsidRPr="005C38B2">
              <w:rPr>
                <w:rFonts w:ascii="Calibri" w:hAnsi="Calibri" w:cs="Calibri"/>
                <w:b/>
                <w:color w:val="000000" w:themeColor="text1"/>
                <w:lang w:val="ro-MD"/>
              </w:rPr>
              <w:t>Director Executiv, Malcoci Ludmila</w:t>
            </w:r>
            <w:r w:rsidRPr="005C38B2">
              <w:rPr>
                <w:rFonts w:ascii="Calibri" w:hAnsi="Calibri" w:cs="Calibri"/>
                <w:color w:val="000000" w:themeColor="text1"/>
                <w:lang w:val="ro-MD"/>
              </w:rPr>
              <w:t xml:space="preserve"> _____________</w:t>
            </w:r>
          </w:p>
          <w:p w14:paraId="3883ABB6" w14:textId="77B5C02A" w:rsidR="004D5396" w:rsidRPr="005C38B2" w:rsidRDefault="004D5396" w:rsidP="00DF282D">
            <w:pPr>
              <w:ind w:right="-3"/>
              <w:jc w:val="both"/>
              <w:rPr>
                <w:color w:val="000000" w:themeColor="text1"/>
                <w:lang w:val="ro-MD"/>
              </w:rPr>
            </w:pPr>
            <w:r w:rsidRPr="005C38B2">
              <w:rPr>
                <w:rFonts w:ascii="Calibri" w:hAnsi="Calibri" w:cs="Calibri"/>
                <w:color w:val="000000" w:themeColor="text1"/>
                <w:lang w:val="ro-MD"/>
              </w:rPr>
              <w:t xml:space="preserve"> Data:</w:t>
            </w:r>
            <w:r w:rsidRPr="005C38B2">
              <w:rPr>
                <w:rFonts w:ascii="Calibri" w:hAnsi="Calibri" w:cs="Calibri"/>
                <w:color w:val="000000" w:themeColor="text1"/>
                <w:lang w:val="ro-MD"/>
              </w:rPr>
              <w:tab/>
            </w:r>
            <w:r w:rsidRPr="005C38B2">
              <w:rPr>
                <w:rFonts w:ascii="Calibri" w:hAnsi="Calibri" w:cs="Calibri"/>
                <w:color w:val="000000" w:themeColor="text1"/>
                <w:lang w:val="ro-MD"/>
              </w:rPr>
              <w:tab/>
            </w:r>
            <w:r w:rsidRPr="005C38B2">
              <w:rPr>
                <w:rFonts w:ascii="Calibri" w:hAnsi="Calibri" w:cs="Calibri"/>
                <w:color w:val="000000" w:themeColor="text1"/>
                <w:lang w:val="ro-MD"/>
              </w:rPr>
              <w:tab/>
            </w:r>
            <w:r w:rsidRPr="005C38B2">
              <w:rPr>
                <w:color w:val="000000" w:themeColor="text1"/>
                <w:lang w:val="ro-MD"/>
              </w:rPr>
              <w:tab/>
            </w:r>
          </w:p>
          <w:p w14:paraId="2E5F390A" w14:textId="77777777" w:rsidR="004D5396" w:rsidRPr="005C38B2" w:rsidRDefault="004D5396" w:rsidP="00DF282D">
            <w:pPr>
              <w:ind w:right="-3"/>
              <w:jc w:val="both"/>
              <w:rPr>
                <w:color w:val="000000" w:themeColor="text1"/>
                <w:lang w:val="ro-MD"/>
              </w:rPr>
            </w:pPr>
            <w:r w:rsidRPr="005C38B2">
              <w:rPr>
                <w:color w:val="000000" w:themeColor="text1"/>
                <w:lang w:val="ro-MD"/>
              </w:rPr>
              <w:t xml:space="preserve">                 </w:t>
            </w:r>
          </w:p>
        </w:tc>
        <w:tc>
          <w:tcPr>
            <w:tcW w:w="4840" w:type="dxa"/>
          </w:tcPr>
          <w:p w14:paraId="161BF8E5" w14:textId="77777777" w:rsidR="004D5396" w:rsidRPr="005C38B2" w:rsidRDefault="004D5396" w:rsidP="00DF282D">
            <w:pPr>
              <w:ind w:right="-3"/>
              <w:jc w:val="both"/>
              <w:rPr>
                <w:b/>
                <w:color w:val="000000" w:themeColor="text1"/>
                <w:lang w:val="ro-MD"/>
              </w:rPr>
            </w:pPr>
            <w:r w:rsidRPr="005C38B2">
              <w:rPr>
                <w:b/>
                <w:color w:val="000000" w:themeColor="text1"/>
                <w:lang w:val="ro-MD"/>
              </w:rPr>
              <w:t xml:space="preserve">PRESTATOR: </w:t>
            </w:r>
          </w:p>
          <w:p w14:paraId="4A282EE0" w14:textId="10AD437D" w:rsidR="004D5396" w:rsidRPr="005C38B2" w:rsidRDefault="004D5396" w:rsidP="00DF282D">
            <w:pPr>
              <w:ind w:right="-3"/>
              <w:jc w:val="both"/>
              <w:rPr>
                <w:color w:val="000000" w:themeColor="text1"/>
                <w:lang w:val="ro-MD"/>
              </w:rPr>
            </w:pPr>
            <w:r w:rsidRPr="005C38B2">
              <w:rPr>
                <w:b/>
                <w:color w:val="000000" w:themeColor="text1"/>
                <w:lang w:val="ro-MD"/>
              </w:rPr>
              <w:t>………………………</w:t>
            </w:r>
          </w:p>
          <w:p w14:paraId="029B1E5F" w14:textId="18E2C750" w:rsidR="004D5396" w:rsidRPr="005C38B2" w:rsidRDefault="004D5396" w:rsidP="00DF282D">
            <w:pPr>
              <w:ind w:right="-3"/>
              <w:jc w:val="both"/>
              <w:rPr>
                <w:color w:val="000000" w:themeColor="text1"/>
                <w:lang w:val="ro-MD"/>
              </w:rPr>
            </w:pPr>
            <w:r w:rsidRPr="005C38B2">
              <w:rPr>
                <w:color w:val="000000" w:themeColor="text1"/>
                <w:lang w:val="ro-MD"/>
              </w:rPr>
              <w:t xml:space="preserve">mun. ………., str. ………..nr. ….. ap …… </w:t>
            </w:r>
          </w:p>
          <w:p w14:paraId="13E8D192" w14:textId="4F05080D" w:rsidR="004D5396" w:rsidRPr="005C38B2" w:rsidRDefault="004D5396" w:rsidP="00DF282D">
            <w:pPr>
              <w:ind w:right="-3"/>
              <w:jc w:val="both"/>
              <w:rPr>
                <w:b/>
                <w:color w:val="000000" w:themeColor="text1"/>
                <w:lang w:val="ro-MD"/>
              </w:rPr>
            </w:pPr>
            <w:r w:rsidRPr="005C38B2">
              <w:rPr>
                <w:color w:val="000000" w:themeColor="text1"/>
                <w:lang w:val="ro-MD"/>
              </w:rPr>
              <w:t xml:space="preserve">Cod fiscal: </w:t>
            </w:r>
          </w:p>
          <w:p w14:paraId="65BC8436" w14:textId="70A39847" w:rsidR="004D5396" w:rsidRPr="005C38B2" w:rsidRDefault="004D5396" w:rsidP="00DF282D">
            <w:pPr>
              <w:ind w:right="-3"/>
              <w:jc w:val="both"/>
              <w:rPr>
                <w:color w:val="000000" w:themeColor="text1"/>
                <w:lang w:val="ro-MD"/>
              </w:rPr>
            </w:pPr>
            <w:r w:rsidRPr="005C38B2">
              <w:rPr>
                <w:color w:val="000000" w:themeColor="text1"/>
                <w:lang w:val="ro-MD"/>
              </w:rPr>
              <w:t>B.C. ……….</w:t>
            </w:r>
          </w:p>
          <w:p w14:paraId="1D4A0DE1" w14:textId="45B41D7F" w:rsidR="004D5396" w:rsidRPr="005C38B2" w:rsidRDefault="004D5396" w:rsidP="00DF282D">
            <w:pPr>
              <w:ind w:right="-3"/>
              <w:jc w:val="both"/>
              <w:rPr>
                <w:b/>
                <w:color w:val="000000" w:themeColor="text1"/>
                <w:lang w:val="ro-RO"/>
              </w:rPr>
            </w:pPr>
            <w:r w:rsidRPr="005C38B2">
              <w:rPr>
                <w:color w:val="000000" w:themeColor="text1"/>
                <w:lang w:val="ro-MD"/>
              </w:rPr>
              <w:t>IBAN:</w:t>
            </w:r>
          </w:p>
          <w:p w14:paraId="3D0326E9" w14:textId="29DC5D0A" w:rsidR="004D5396" w:rsidRPr="005C38B2" w:rsidRDefault="004D5396" w:rsidP="00DF282D">
            <w:pPr>
              <w:ind w:right="-3"/>
              <w:jc w:val="both"/>
              <w:rPr>
                <w:color w:val="000000" w:themeColor="text1"/>
                <w:lang w:val="ro-MD"/>
              </w:rPr>
            </w:pPr>
            <w:r w:rsidRPr="005C38B2">
              <w:rPr>
                <w:color w:val="000000" w:themeColor="text1"/>
                <w:lang w:val="ro-MD"/>
              </w:rPr>
              <w:t xml:space="preserve">Codul băncii: </w:t>
            </w:r>
          </w:p>
          <w:p w14:paraId="736C8D6A" w14:textId="77777777" w:rsidR="005C38B2" w:rsidRDefault="005C38B2" w:rsidP="00DF282D">
            <w:pPr>
              <w:ind w:right="-3"/>
              <w:jc w:val="both"/>
              <w:rPr>
                <w:color w:val="000000" w:themeColor="text1"/>
                <w:lang w:val="ro-MD"/>
              </w:rPr>
            </w:pPr>
          </w:p>
          <w:p w14:paraId="3CF89EFF" w14:textId="023C2D81" w:rsidR="004D5396" w:rsidRPr="005C38B2" w:rsidRDefault="004D5396" w:rsidP="00DF282D">
            <w:pPr>
              <w:ind w:right="-3"/>
              <w:jc w:val="both"/>
              <w:rPr>
                <w:color w:val="000000" w:themeColor="text1"/>
                <w:lang w:val="ro-MD"/>
              </w:rPr>
            </w:pPr>
            <w:r w:rsidRPr="005C38B2">
              <w:rPr>
                <w:b/>
                <w:color w:val="000000" w:themeColor="text1"/>
                <w:lang w:val="ro-MD"/>
              </w:rPr>
              <w:t>Reprezentant legal</w:t>
            </w:r>
            <w:r w:rsidRPr="005C38B2">
              <w:rPr>
                <w:color w:val="000000" w:themeColor="text1"/>
                <w:lang w:val="ro-MD"/>
              </w:rPr>
              <w:t xml:space="preserve">  _________________</w:t>
            </w:r>
          </w:p>
          <w:p w14:paraId="28F87B1F" w14:textId="59AA5CC4" w:rsidR="004D5396" w:rsidRPr="006A34DA" w:rsidRDefault="004D5396" w:rsidP="00DF282D">
            <w:pPr>
              <w:ind w:right="-3"/>
              <w:jc w:val="both"/>
              <w:rPr>
                <w:color w:val="000000" w:themeColor="text1"/>
                <w:lang w:val="ro-MD"/>
              </w:rPr>
            </w:pPr>
            <w:r w:rsidRPr="005C38B2">
              <w:rPr>
                <w:color w:val="000000" w:themeColor="text1"/>
                <w:lang w:val="ro-MD"/>
              </w:rPr>
              <w:t>Data:</w:t>
            </w:r>
            <w:r w:rsidRPr="006A34DA">
              <w:rPr>
                <w:color w:val="000000" w:themeColor="text1"/>
                <w:lang w:val="ro-MD"/>
              </w:rPr>
              <w:tab/>
            </w:r>
            <w:r w:rsidRPr="006A34DA">
              <w:rPr>
                <w:color w:val="000000" w:themeColor="text1"/>
                <w:lang w:val="ro-MD"/>
              </w:rPr>
              <w:tab/>
            </w:r>
            <w:r w:rsidRPr="006A34DA">
              <w:rPr>
                <w:color w:val="000000" w:themeColor="text1"/>
                <w:lang w:val="ro-MD"/>
              </w:rPr>
              <w:tab/>
            </w:r>
            <w:r w:rsidRPr="006A34DA">
              <w:rPr>
                <w:color w:val="000000" w:themeColor="text1"/>
                <w:lang w:val="ro-MD"/>
              </w:rPr>
              <w:tab/>
              <w:t xml:space="preserve">        </w:t>
            </w:r>
          </w:p>
          <w:p w14:paraId="5F982FF9" w14:textId="77777777" w:rsidR="004D5396" w:rsidRPr="006A34DA" w:rsidRDefault="004D5396" w:rsidP="00DF282D">
            <w:pPr>
              <w:ind w:right="-3"/>
              <w:jc w:val="both"/>
              <w:rPr>
                <w:color w:val="000000" w:themeColor="text1"/>
                <w:lang w:val="ro-MD"/>
              </w:rPr>
            </w:pPr>
            <w:r w:rsidRPr="006A34DA">
              <w:rPr>
                <w:color w:val="000000" w:themeColor="text1"/>
                <w:lang w:val="ro-MD"/>
              </w:rPr>
              <w:t xml:space="preserve">                 </w:t>
            </w:r>
          </w:p>
          <w:p w14:paraId="6C7549E2" w14:textId="77777777" w:rsidR="004D5396" w:rsidRPr="006A34DA" w:rsidRDefault="004D5396" w:rsidP="00DF282D">
            <w:pPr>
              <w:ind w:right="-3"/>
              <w:jc w:val="both"/>
              <w:rPr>
                <w:color w:val="000000" w:themeColor="text1"/>
                <w:lang w:val="ro-MD"/>
              </w:rPr>
            </w:pPr>
          </w:p>
        </w:tc>
      </w:tr>
    </w:tbl>
    <w:p w14:paraId="7197BE64" w14:textId="77777777" w:rsidR="004D5396" w:rsidRDefault="004D5396" w:rsidP="00580F77">
      <w:pPr>
        <w:spacing w:after="0" w:line="240" w:lineRule="auto"/>
        <w:ind w:hanging="2"/>
        <w:rPr>
          <w:b/>
          <w:bCs/>
          <w:lang w:val="ro-MD"/>
        </w:rPr>
      </w:pPr>
    </w:p>
    <w:p w14:paraId="656FE41C" w14:textId="77777777" w:rsidR="004D5396" w:rsidRDefault="004D5396" w:rsidP="00580F77">
      <w:pPr>
        <w:spacing w:after="0" w:line="240" w:lineRule="auto"/>
        <w:ind w:hanging="2"/>
        <w:rPr>
          <w:b/>
          <w:bCs/>
          <w:lang w:val="ro-MD"/>
        </w:rPr>
      </w:pPr>
    </w:p>
    <w:p w14:paraId="108EE1AA" w14:textId="77777777" w:rsidR="004D5396" w:rsidRDefault="004D5396" w:rsidP="00580F77">
      <w:pPr>
        <w:spacing w:after="0" w:line="240" w:lineRule="auto"/>
        <w:ind w:hanging="2"/>
        <w:rPr>
          <w:b/>
          <w:bCs/>
          <w:lang w:val="ro-MD"/>
        </w:rPr>
      </w:pPr>
    </w:p>
    <w:bookmarkEnd w:id="0"/>
    <w:bookmarkEnd w:id="1"/>
    <w:p w14:paraId="4B57AE3D" w14:textId="77777777" w:rsidR="00EA2C73" w:rsidRDefault="00EA2C73" w:rsidP="00EA2C73">
      <w:pPr>
        <w:spacing w:after="0" w:line="240" w:lineRule="auto"/>
        <w:rPr>
          <w:rFonts w:cstheme="minorHAnsi"/>
          <w:b/>
          <w:bCs/>
          <w:color w:val="003F85"/>
          <w:lang w:val="ro-RO"/>
        </w:rPr>
      </w:pPr>
    </w:p>
    <w:sectPr w:rsidR="00EA2C73" w:rsidSect="0046568D">
      <w:headerReference w:type="default" r:id="rId8"/>
      <w:footerReference w:type="default" r:id="rId9"/>
      <w:pgSz w:w="11907" w:h="16839" w:code="9"/>
      <w:pgMar w:top="1701" w:right="7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956A" w14:textId="77777777" w:rsidR="00742434" w:rsidRDefault="00742434" w:rsidP="00E64A88">
      <w:pPr>
        <w:spacing w:after="0" w:line="240" w:lineRule="auto"/>
      </w:pPr>
      <w:r>
        <w:separator/>
      </w:r>
    </w:p>
  </w:endnote>
  <w:endnote w:type="continuationSeparator" w:id="0">
    <w:p w14:paraId="03A3C0C9" w14:textId="77777777" w:rsidR="00742434" w:rsidRDefault="00742434" w:rsidP="00E6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85E1B" w14:textId="77777777" w:rsidR="00F75483" w:rsidRDefault="00F75483">
    <w:pPr>
      <w:pStyle w:val="Footer"/>
      <w:rPr>
        <w:noProof/>
      </w:rPr>
    </w:pPr>
    <w:r w:rsidRPr="00E64A88">
      <w:rPr>
        <w:noProof/>
      </w:rPr>
      <w:drawing>
        <wp:anchor distT="0" distB="0" distL="114300" distR="114300" simplePos="0" relativeHeight="251659264" behindDoc="0" locked="0" layoutInCell="1" allowOverlap="1" wp14:anchorId="43FEA2D6" wp14:editId="1AB9B540">
          <wp:simplePos x="0" y="0"/>
          <wp:positionH relativeFrom="page">
            <wp:posOffset>9525</wp:posOffset>
          </wp:positionH>
          <wp:positionV relativeFrom="paragraph">
            <wp:posOffset>-151611</wp:posOffset>
          </wp:positionV>
          <wp:extent cx="7486650" cy="877416"/>
          <wp:effectExtent l="0" t="0" r="0" b="0"/>
          <wp:wrapNone/>
          <wp:docPr id="44" name="Picture 44" descr="D:\Keystone\EU COVID\Bottom pro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eystone\EU COVID\Bottom protrait.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555" r="992" b="15216"/>
                  <a:stretch/>
                </pic:blipFill>
                <pic:spPr bwMode="auto">
                  <a:xfrm>
                    <a:off x="0" y="0"/>
                    <a:ext cx="7525145" cy="88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EF7F1" w14:textId="77777777" w:rsidR="00E64A88" w:rsidRDefault="00E6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D6DD" w14:textId="77777777" w:rsidR="00742434" w:rsidRDefault="00742434" w:rsidP="00E64A88">
      <w:pPr>
        <w:spacing w:after="0" w:line="240" w:lineRule="auto"/>
      </w:pPr>
      <w:r>
        <w:separator/>
      </w:r>
    </w:p>
  </w:footnote>
  <w:footnote w:type="continuationSeparator" w:id="0">
    <w:p w14:paraId="391EF002" w14:textId="77777777" w:rsidR="00742434" w:rsidRDefault="00742434" w:rsidP="00E6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AA11" w14:textId="77777777" w:rsidR="00E64A88" w:rsidRDefault="00307633" w:rsidP="00E64A88">
    <w:pPr>
      <w:pStyle w:val="Header"/>
      <w:jc w:val="center"/>
    </w:pPr>
    <w:r w:rsidRPr="00307633">
      <w:rPr>
        <w:noProof/>
      </w:rPr>
      <w:drawing>
        <wp:anchor distT="0" distB="0" distL="114300" distR="114300" simplePos="0" relativeHeight="251660288" behindDoc="0" locked="0" layoutInCell="1" allowOverlap="1" wp14:anchorId="480DC084" wp14:editId="529F592D">
          <wp:simplePos x="0" y="0"/>
          <wp:positionH relativeFrom="column">
            <wp:posOffset>-748030</wp:posOffset>
          </wp:positionH>
          <wp:positionV relativeFrom="paragraph">
            <wp:posOffset>-290888</wp:posOffset>
          </wp:positionV>
          <wp:extent cx="7190509" cy="732035"/>
          <wp:effectExtent l="0" t="0" r="0" b="0"/>
          <wp:wrapNone/>
          <wp:docPr id="43" name="Picture 43" descr="D:\Keystone\MD-RO Soft EU grant\Implementation\Visibility\Top protrait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eystone\MD-RO Soft EU grant\Implementation\Visibility\Top protrait 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509" cy="7320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MON_1666013964"/>
    <w:bookmarkEnd w:id="4"/>
    <w:r>
      <w:object w:dxaOrig="13959" w:dyaOrig="450" w14:anchorId="462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pt;height:22.35pt" o:ole="">
          <v:imagedata r:id="rId2" o:title=""/>
        </v:shape>
        <o:OLEObject Type="Embed" ProgID="Word.Document.12" ShapeID="_x0000_i1025" DrawAspect="Content" ObjectID="_1671993122" r:id="rId3">
          <o:FieldCodes>\s</o:FieldCodes>
        </o:OLEObject>
      </w:object>
    </w:r>
    <w:r w:rsidRPr="003076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6ADA"/>
    <w:multiLevelType w:val="hybridMultilevel"/>
    <w:tmpl w:val="E8D24D24"/>
    <w:lvl w:ilvl="0" w:tplc="04180001">
      <w:start w:val="1"/>
      <w:numFmt w:val="bullet"/>
      <w:lvlText w:val=""/>
      <w:lvlJc w:val="left"/>
      <w:pPr>
        <w:ind w:left="718" w:hanging="360"/>
      </w:pPr>
      <w:rPr>
        <w:rFonts w:ascii="Symbol" w:hAnsi="Symbo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 w15:restartNumberingAfterBreak="0">
    <w:nsid w:val="35A6502B"/>
    <w:multiLevelType w:val="hybridMultilevel"/>
    <w:tmpl w:val="AC04A48A"/>
    <w:lvl w:ilvl="0" w:tplc="0418000F">
      <w:start w:val="1"/>
      <w:numFmt w:val="decimal"/>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2" w15:restartNumberingAfterBreak="0">
    <w:nsid w:val="36B450CE"/>
    <w:multiLevelType w:val="hybridMultilevel"/>
    <w:tmpl w:val="EEAA86CC"/>
    <w:lvl w:ilvl="0" w:tplc="3188975A">
      <w:start w:val="1"/>
      <w:numFmt w:val="upperRoman"/>
      <w:lvlText w:val="%1."/>
      <w:lvlJc w:val="left"/>
      <w:pPr>
        <w:ind w:left="718" w:hanging="720"/>
      </w:pPr>
      <w:rPr>
        <w:rFonts w:hint="default"/>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3" w15:restartNumberingAfterBreak="0">
    <w:nsid w:val="57686A33"/>
    <w:multiLevelType w:val="hybridMultilevel"/>
    <w:tmpl w:val="D3EC8D90"/>
    <w:lvl w:ilvl="0" w:tplc="B0AAE566">
      <w:numFmt w:val="bullet"/>
      <w:lvlText w:val="•"/>
      <w:lvlJc w:val="left"/>
      <w:pPr>
        <w:ind w:left="718" w:hanging="720"/>
      </w:pPr>
      <w:rPr>
        <w:rFonts w:ascii="Calibri" w:eastAsia="Calibri" w:hAnsi="Calibri" w:cs="Calibri"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4" w15:restartNumberingAfterBreak="0">
    <w:nsid w:val="5E4B30F1"/>
    <w:multiLevelType w:val="hybridMultilevel"/>
    <w:tmpl w:val="DA081C1C"/>
    <w:lvl w:ilvl="0" w:tplc="D6529684">
      <w:numFmt w:val="bullet"/>
      <w:lvlText w:val="-"/>
      <w:lvlJc w:val="left"/>
      <w:pPr>
        <w:ind w:left="358" w:hanging="360"/>
      </w:pPr>
      <w:rPr>
        <w:rFonts w:ascii="Calibri" w:eastAsia="Calibri" w:hAnsi="Calibri" w:cs="Calibri"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5" w15:restartNumberingAfterBreak="0">
    <w:nsid w:val="6CE26B76"/>
    <w:multiLevelType w:val="hybridMultilevel"/>
    <w:tmpl w:val="C85022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8F21F50"/>
    <w:multiLevelType w:val="hybridMultilevel"/>
    <w:tmpl w:val="CB24AD90"/>
    <w:lvl w:ilvl="0" w:tplc="0418000F">
      <w:start w:val="1"/>
      <w:numFmt w:val="decimal"/>
      <w:lvlText w:val="%1."/>
      <w:lvlJc w:val="left"/>
      <w:pPr>
        <w:ind w:left="718" w:hanging="720"/>
      </w:pPr>
      <w:rPr>
        <w:rFonts w:hint="default"/>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88"/>
    <w:rsid w:val="000036AA"/>
    <w:rsid w:val="00016E3A"/>
    <w:rsid w:val="000F1A7A"/>
    <w:rsid w:val="0011018C"/>
    <w:rsid w:val="001C7231"/>
    <w:rsid w:val="001F22F2"/>
    <w:rsid w:val="0020631D"/>
    <w:rsid w:val="002230D3"/>
    <w:rsid w:val="002638C8"/>
    <w:rsid w:val="002C660B"/>
    <w:rsid w:val="002D2835"/>
    <w:rsid w:val="002E17AA"/>
    <w:rsid w:val="002E4784"/>
    <w:rsid w:val="002E4B19"/>
    <w:rsid w:val="002F133C"/>
    <w:rsid w:val="00307633"/>
    <w:rsid w:val="00373571"/>
    <w:rsid w:val="003D6467"/>
    <w:rsid w:val="003E4252"/>
    <w:rsid w:val="00437F62"/>
    <w:rsid w:val="004402D4"/>
    <w:rsid w:val="0046568D"/>
    <w:rsid w:val="00472328"/>
    <w:rsid w:val="00485197"/>
    <w:rsid w:val="004B5647"/>
    <w:rsid w:val="004C79FF"/>
    <w:rsid w:val="004D5396"/>
    <w:rsid w:val="005164D7"/>
    <w:rsid w:val="00547522"/>
    <w:rsid w:val="00580F77"/>
    <w:rsid w:val="0059219C"/>
    <w:rsid w:val="005A7075"/>
    <w:rsid w:val="005C38B2"/>
    <w:rsid w:val="00617391"/>
    <w:rsid w:val="0062031C"/>
    <w:rsid w:val="006A0701"/>
    <w:rsid w:val="006A4070"/>
    <w:rsid w:val="006C398A"/>
    <w:rsid w:val="00742434"/>
    <w:rsid w:val="00751BFB"/>
    <w:rsid w:val="007B4E42"/>
    <w:rsid w:val="007E70D6"/>
    <w:rsid w:val="007F03D7"/>
    <w:rsid w:val="00863BEB"/>
    <w:rsid w:val="008901B1"/>
    <w:rsid w:val="008944F3"/>
    <w:rsid w:val="00904E07"/>
    <w:rsid w:val="00917F2F"/>
    <w:rsid w:val="00933CB3"/>
    <w:rsid w:val="00941D88"/>
    <w:rsid w:val="009712B9"/>
    <w:rsid w:val="00973717"/>
    <w:rsid w:val="00977EE8"/>
    <w:rsid w:val="00A92780"/>
    <w:rsid w:val="00AA4502"/>
    <w:rsid w:val="00AB6622"/>
    <w:rsid w:val="00AC785E"/>
    <w:rsid w:val="00B11842"/>
    <w:rsid w:val="00B91AA8"/>
    <w:rsid w:val="00BC7C7B"/>
    <w:rsid w:val="00C31DAE"/>
    <w:rsid w:val="00C56118"/>
    <w:rsid w:val="00CC0C5F"/>
    <w:rsid w:val="00CD4997"/>
    <w:rsid w:val="00D21887"/>
    <w:rsid w:val="00D4482D"/>
    <w:rsid w:val="00D54E23"/>
    <w:rsid w:val="00DA28C6"/>
    <w:rsid w:val="00DD12F3"/>
    <w:rsid w:val="00DE5C10"/>
    <w:rsid w:val="00DF76A7"/>
    <w:rsid w:val="00E64A88"/>
    <w:rsid w:val="00EA2C73"/>
    <w:rsid w:val="00EC41B1"/>
    <w:rsid w:val="00ED19B6"/>
    <w:rsid w:val="00F37A84"/>
    <w:rsid w:val="00F72D79"/>
    <w:rsid w:val="00F75483"/>
    <w:rsid w:val="00F95DC7"/>
    <w:rsid w:val="00FC59FA"/>
    <w:rsid w:val="00FD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83B2"/>
  <w15:chartTrackingRefBased/>
  <w15:docId w15:val="{F0574C45-0434-4170-8439-088A9CE2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1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8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64A88"/>
  </w:style>
  <w:style w:type="paragraph" w:styleId="Footer">
    <w:name w:val="footer"/>
    <w:basedOn w:val="Normal"/>
    <w:link w:val="FooterChar"/>
    <w:uiPriority w:val="99"/>
    <w:unhideWhenUsed/>
    <w:rsid w:val="00E64A8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64A88"/>
  </w:style>
  <w:style w:type="character" w:styleId="Hyperlink">
    <w:name w:val="Hyperlink"/>
    <w:basedOn w:val="DefaultParagraphFont"/>
    <w:uiPriority w:val="99"/>
    <w:unhideWhenUsed/>
    <w:rsid w:val="00C56118"/>
    <w:rPr>
      <w:color w:val="0563C1" w:themeColor="hyperlink"/>
      <w:u w:val="single"/>
    </w:rPr>
  </w:style>
  <w:style w:type="paragraph" w:styleId="BalloonText">
    <w:name w:val="Balloon Text"/>
    <w:basedOn w:val="Normal"/>
    <w:link w:val="BalloonTextChar"/>
    <w:uiPriority w:val="99"/>
    <w:semiHidden/>
    <w:unhideWhenUsed/>
    <w:rsid w:val="007F0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D7"/>
    <w:rPr>
      <w:rFonts w:ascii="Segoe UI" w:hAnsi="Segoe UI" w:cs="Segoe UI"/>
      <w:sz w:val="18"/>
      <w:szCs w:val="18"/>
      <w:lang w:val="en-GB"/>
    </w:rPr>
  </w:style>
  <w:style w:type="character" w:styleId="CommentReference">
    <w:name w:val="annotation reference"/>
    <w:basedOn w:val="DefaultParagraphFont"/>
    <w:uiPriority w:val="99"/>
    <w:semiHidden/>
    <w:unhideWhenUsed/>
    <w:rsid w:val="00016E3A"/>
    <w:rPr>
      <w:sz w:val="16"/>
      <w:szCs w:val="16"/>
    </w:rPr>
  </w:style>
  <w:style w:type="paragraph" w:styleId="CommentText">
    <w:name w:val="annotation text"/>
    <w:basedOn w:val="Normal"/>
    <w:link w:val="CommentTextChar"/>
    <w:uiPriority w:val="99"/>
    <w:semiHidden/>
    <w:unhideWhenUsed/>
    <w:rsid w:val="00016E3A"/>
    <w:pPr>
      <w:spacing w:line="240" w:lineRule="auto"/>
    </w:pPr>
    <w:rPr>
      <w:sz w:val="20"/>
      <w:szCs w:val="20"/>
    </w:rPr>
  </w:style>
  <w:style w:type="character" w:customStyle="1" w:styleId="CommentTextChar">
    <w:name w:val="Comment Text Char"/>
    <w:basedOn w:val="DefaultParagraphFont"/>
    <w:link w:val="CommentText"/>
    <w:uiPriority w:val="99"/>
    <w:semiHidden/>
    <w:rsid w:val="00016E3A"/>
    <w:rPr>
      <w:sz w:val="20"/>
      <w:szCs w:val="20"/>
      <w:lang w:val="en-GB"/>
    </w:rPr>
  </w:style>
  <w:style w:type="paragraph" w:styleId="CommentSubject">
    <w:name w:val="annotation subject"/>
    <w:basedOn w:val="CommentText"/>
    <w:next w:val="CommentText"/>
    <w:link w:val="CommentSubjectChar"/>
    <w:uiPriority w:val="99"/>
    <w:semiHidden/>
    <w:unhideWhenUsed/>
    <w:rsid w:val="00016E3A"/>
    <w:rPr>
      <w:b/>
      <w:bCs/>
    </w:rPr>
  </w:style>
  <w:style w:type="character" w:customStyle="1" w:styleId="CommentSubjectChar">
    <w:name w:val="Comment Subject Char"/>
    <w:basedOn w:val="CommentTextChar"/>
    <w:link w:val="CommentSubject"/>
    <w:uiPriority w:val="99"/>
    <w:semiHidden/>
    <w:rsid w:val="00016E3A"/>
    <w:rPr>
      <w:b/>
      <w:bCs/>
      <w:sz w:val="20"/>
      <w:szCs w:val="20"/>
      <w:lang w:val="en-GB"/>
    </w:rPr>
  </w:style>
  <w:style w:type="table" w:styleId="TableGrid">
    <w:name w:val="Table Grid"/>
    <w:basedOn w:val="TableNormal"/>
    <w:uiPriority w:val="39"/>
    <w:rsid w:val="00EA2C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C73"/>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ica.sobieski@alaturidevo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Word_Document1.docx"/><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2139</Words>
  <Characters>12195</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Ciocan</dc:creator>
  <cp:keywords/>
  <dc:description/>
  <cp:lastModifiedBy>Natalia Cojocaru</cp:lastModifiedBy>
  <cp:revision>36</cp:revision>
  <dcterms:created xsi:type="dcterms:W3CDTF">2021-01-04T13:38:00Z</dcterms:created>
  <dcterms:modified xsi:type="dcterms:W3CDTF">2021-01-12T19:45:00Z</dcterms:modified>
</cp:coreProperties>
</file>