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D0" w:rsidRDefault="00961BD0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2385204</wp:posOffset>
            </wp:positionH>
            <wp:positionV relativeFrom="paragraph">
              <wp:posOffset>-303003</wp:posOffset>
            </wp:positionV>
            <wp:extent cx="2139351" cy="1463583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6824" r="12000" b="11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29" cy="146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BD0" w:rsidRDefault="00961BD0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961BD0" w:rsidRDefault="00961BD0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961BD0" w:rsidRDefault="00961BD0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961BD0" w:rsidRDefault="00961BD0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961BD0" w:rsidRDefault="00961BD0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961BD0" w:rsidRDefault="00961BD0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961BD0" w:rsidRDefault="00961BD0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536409" w:rsidRDefault="00536409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F65956" w:rsidRPr="0047695D" w:rsidRDefault="00F65956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47695D">
        <w:rPr>
          <w:rFonts w:ascii="Arial" w:hAnsi="Arial" w:cs="Arial"/>
          <w:b/>
          <w:sz w:val="22"/>
          <w:szCs w:val="22"/>
          <w:lang w:val="ro-RO"/>
        </w:rPr>
        <w:t>TERMENI DE REFERINȚĂ</w:t>
      </w:r>
    </w:p>
    <w:p w:rsidR="00FF3A3A" w:rsidRPr="0047695D" w:rsidRDefault="00FF3A3A" w:rsidP="00FC7E97">
      <w:pPr>
        <w:jc w:val="both"/>
        <w:rPr>
          <w:rFonts w:ascii="Arial" w:eastAsia="Times New Roman" w:hAnsi="Arial" w:cs="Arial"/>
          <w:b/>
          <w:sz w:val="22"/>
          <w:szCs w:val="22"/>
          <w:lang w:val="ro-RO" w:eastAsia="ar-SA"/>
        </w:rPr>
      </w:pPr>
    </w:p>
    <w:p w:rsidR="00D02F16" w:rsidRDefault="00FF3A3A" w:rsidP="00FC7E97">
      <w:pPr>
        <w:jc w:val="both"/>
        <w:rPr>
          <w:rFonts w:ascii="Arial" w:eastAsia="Times New Roman" w:hAnsi="Arial" w:cs="Arial"/>
          <w:sz w:val="22"/>
          <w:szCs w:val="22"/>
          <w:lang w:val="ro-RO" w:eastAsia="ar-SA"/>
        </w:rPr>
      </w:pPr>
      <w:r w:rsidRPr="0047695D">
        <w:rPr>
          <w:rFonts w:ascii="Arial" w:eastAsia="Times New Roman" w:hAnsi="Arial" w:cs="Arial"/>
          <w:b/>
          <w:sz w:val="22"/>
          <w:szCs w:val="22"/>
          <w:lang w:val="ro-RO" w:eastAsia="ar-SA"/>
        </w:rPr>
        <w:t>Denumirea funcției/poziției</w:t>
      </w:r>
      <w:r w:rsidR="00F65956" w:rsidRPr="0047695D">
        <w:rPr>
          <w:rFonts w:ascii="Arial" w:eastAsia="Times New Roman" w:hAnsi="Arial" w:cs="Arial"/>
          <w:b/>
          <w:sz w:val="22"/>
          <w:szCs w:val="22"/>
          <w:lang w:val="ro-RO" w:eastAsia="ar-SA"/>
        </w:rPr>
        <w:t>:</w:t>
      </w:r>
      <w:r w:rsidR="00F65956" w:rsidRPr="0047695D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</w:t>
      </w:r>
      <w:r w:rsidR="00AF21B5" w:rsidRPr="00536409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>Consultant</w:t>
      </w:r>
      <w:r w:rsidR="00D02F16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 xml:space="preserve"> în domeniul finanțelor publice</w:t>
      </w:r>
      <w:r w:rsidR="00D02F16">
        <w:rPr>
          <w:rFonts w:ascii="Arial" w:eastAsia="Times New Roman" w:hAnsi="Arial" w:cs="Arial"/>
          <w:sz w:val="22"/>
          <w:szCs w:val="22"/>
          <w:lang w:val="ro-RO" w:eastAsia="ar-SA"/>
        </w:rPr>
        <w:t xml:space="preserve">. </w:t>
      </w:r>
    </w:p>
    <w:p w:rsidR="0041570B" w:rsidRDefault="0041570B" w:rsidP="00FC7E97">
      <w:pPr>
        <w:jc w:val="both"/>
        <w:rPr>
          <w:rFonts w:ascii="Arial" w:eastAsia="Times New Roman" w:hAnsi="Arial" w:cs="Arial"/>
          <w:sz w:val="22"/>
          <w:szCs w:val="22"/>
          <w:lang w:val="ro-RO" w:eastAsia="ar-SA"/>
        </w:rPr>
      </w:pPr>
    </w:p>
    <w:p w:rsidR="00F65956" w:rsidRPr="00D02F16" w:rsidRDefault="00D02F16" w:rsidP="00D02F16">
      <w:pPr>
        <w:jc w:val="both"/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</w:pPr>
      <w:r>
        <w:rPr>
          <w:rFonts w:ascii="Arial" w:eastAsia="Times New Roman" w:hAnsi="Arial" w:cs="Arial"/>
          <w:b/>
          <w:sz w:val="22"/>
          <w:szCs w:val="22"/>
          <w:lang w:val="ro-RO" w:eastAsia="ar-SA"/>
        </w:rPr>
        <w:t>Proiect</w:t>
      </w:r>
      <w:r w:rsidR="00F65956" w:rsidRPr="00D02F16">
        <w:rPr>
          <w:rFonts w:ascii="Arial" w:eastAsia="Times New Roman" w:hAnsi="Arial" w:cs="Arial"/>
          <w:b/>
          <w:sz w:val="22"/>
          <w:szCs w:val="22"/>
          <w:lang w:val="ro-RO" w:eastAsia="ar-SA"/>
        </w:rPr>
        <w:t>:</w:t>
      </w:r>
      <w:r w:rsidR="00F65956" w:rsidRPr="0047695D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</w:t>
      </w:r>
      <w:r w:rsidR="00F65956" w:rsidRPr="0047695D">
        <w:rPr>
          <w:rFonts w:ascii="Arial" w:eastAsia="Times New Roman" w:hAnsi="Arial" w:cs="Arial"/>
          <w:sz w:val="22"/>
          <w:szCs w:val="22"/>
          <w:lang w:val="en-US" w:eastAsia="ar-SA"/>
        </w:rPr>
        <w:t>“</w:t>
      </w:r>
      <w:r w:rsidR="00F65956" w:rsidRPr="00D02F16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>Servicii sociale durabile pentru persoanele cu dizabilități</w:t>
      </w:r>
      <w:r w:rsidR="003E148C" w:rsidRPr="00D02F16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 xml:space="preserve"> mintale</w:t>
      </w:r>
      <w:r w:rsidR="00DD11DE" w:rsidRPr="00D02F16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 xml:space="preserve"> </w:t>
      </w:r>
      <w:r w:rsidR="00F65956" w:rsidRPr="00D02F16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 xml:space="preserve">în contextul descentralizării finanțelor publice locale” </w:t>
      </w:r>
      <w:r w:rsidR="00AF21B5" w:rsidRPr="00D02F16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>finanțat de Fundația Soros Moldova</w:t>
      </w:r>
      <w:r w:rsidR="00536409" w:rsidRPr="00D02F16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 xml:space="preserve">. </w:t>
      </w:r>
      <w:r w:rsidR="00AF21B5" w:rsidRPr="00D02F16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 xml:space="preserve"> </w:t>
      </w:r>
    </w:p>
    <w:p w:rsidR="00F65956" w:rsidRPr="0047695D" w:rsidRDefault="00F65956" w:rsidP="00FC7E97">
      <w:pPr>
        <w:snapToGrid w:val="0"/>
        <w:jc w:val="both"/>
        <w:rPr>
          <w:rFonts w:ascii="Arial" w:eastAsia="Times New Roman" w:hAnsi="Arial" w:cs="Arial"/>
          <w:sz w:val="22"/>
          <w:szCs w:val="22"/>
          <w:lang w:val="ro-RO" w:eastAsia="ar-SA"/>
        </w:rPr>
      </w:pPr>
    </w:p>
    <w:p w:rsidR="00F65956" w:rsidRDefault="00F65956" w:rsidP="00566BCE">
      <w:pPr>
        <w:jc w:val="both"/>
        <w:rPr>
          <w:rFonts w:ascii="Arial" w:eastAsia="Times New Roman" w:hAnsi="Arial" w:cs="Arial"/>
          <w:b/>
          <w:sz w:val="22"/>
          <w:szCs w:val="22"/>
          <w:lang w:val="ro-RO" w:eastAsia="ar-SA"/>
        </w:rPr>
      </w:pPr>
      <w:r w:rsidRPr="00D02F16">
        <w:rPr>
          <w:rFonts w:ascii="Arial" w:eastAsia="Times New Roman" w:hAnsi="Arial" w:cs="Arial"/>
          <w:sz w:val="22"/>
          <w:szCs w:val="22"/>
          <w:lang w:val="ro-RO" w:eastAsia="ar-SA"/>
        </w:rPr>
        <w:t xml:space="preserve">Proiectul </w:t>
      </w:r>
      <w:r w:rsidRPr="00D02F16">
        <w:rPr>
          <w:rFonts w:ascii="Arial" w:eastAsia="Times New Roman" w:hAnsi="Arial" w:cs="Arial"/>
          <w:sz w:val="22"/>
          <w:szCs w:val="22"/>
          <w:lang w:val="en-US" w:eastAsia="ar-SA"/>
        </w:rPr>
        <w:t>“</w:t>
      </w:r>
      <w:r w:rsidRPr="00D02F16">
        <w:rPr>
          <w:rFonts w:ascii="Arial" w:eastAsia="Times New Roman" w:hAnsi="Arial" w:cs="Arial"/>
          <w:sz w:val="22"/>
          <w:szCs w:val="22"/>
          <w:lang w:val="ro-RO" w:eastAsia="ar-SA"/>
        </w:rPr>
        <w:t xml:space="preserve">Servicii sociale durabile pentru persoanele cu dizabilități </w:t>
      </w:r>
      <w:r w:rsidR="00DD11DE" w:rsidRPr="00D02F16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mintale </w:t>
      </w:r>
      <w:r w:rsidRPr="00D02F16">
        <w:rPr>
          <w:rFonts w:ascii="Arial" w:eastAsia="Times New Roman" w:hAnsi="Arial" w:cs="Arial"/>
          <w:sz w:val="22"/>
          <w:szCs w:val="22"/>
          <w:lang w:val="ro-RO" w:eastAsia="ar-SA"/>
        </w:rPr>
        <w:t>în contextul descentralizării finanțelor publice locale”</w:t>
      </w:r>
      <w:r w:rsidRPr="0039287C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 xml:space="preserve"> </w:t>
      </w:r>
      <w:r w:rsidRPr="0047695D">
        <w:rPr>
          <w:rFonts w:ascii="Arial" w:eastAsia="Times New Roman" w:hAnsi="Arial" w:cs="Arial"/>
          <w:sz w:val="22"/>
          <w:szCs w:val="22"/>
          <w:lang w:val="ro-RO" w:eastAsia="ar-SA"/>
        </w:rPr>
        <w:t xml:space="preserve">este implementat de către </w:t>
      </w:r>
      <w:r w:rsidRPr="0047695D">
        <w:rPr>
          <w:rFonts w:ascii="Arial" w:hAnsi="Arial" w:cs="Arial"/>
          <w:sz w:val="22"/>
          <w:szCs w:val="22"/>
          <w:lang w:val="ro-RO"/>
        </w:rPr>
        <w:t xml:space="preserve">Asociaţia Keystone </w:t>
      </w:r>
      <w:proofErr w:type="spellStart"/>
      <w:r w:rsidRPr="0047695D">
        <w:rPr>
          <w:rFonts w:ascii="Arial" w:hAnsi="Arial" w:cs="Arial"/>
          <w:sz w:val="22"/>
          <w:szCs w:val="22"/>
          <w:lang w:val="ro-RO"/>
        </w:rPr>
        <w:t>Human</w:t>
      </w:r>
      <w:proofErr w:type="spellEnd"/>
      <w:r w:rsidRPr="0047695D">
        <w:rPr>
          <w:rFonts w:ascii="Arial" w:hAnsi="Arial" w:cs="Arial"/>
          <w:sz w:val="22"/>
          <w:szCs w:val="22"/>
          <w:lang w:val="ro-RO"/>
        </w:rPr>
        <w:t xml:space="preserve"> Services International Moldova (în continuare Keystone Moldova) în parteneriat cu Ministerul Muncii, Protecţiei Sociale şi Familiei al Republicii Moldova</w:t>
      </w:r>
      <w:r w:rsidR="00134B89" w:rsidRPr="0047695D">
        <w:rPr>
          <w:rFonts w:ascii="Arial" w:hAnsi="Arial" w:cs="Arial"/>
          <w:sz w:val="22"/>
          <w:szCs w:val="22"/>
          <w:lang w:val="ro-RO"/>
        </w:rPr>
        <w:t xml:space="preserve"> (în continuare MMPSF)</w:t>
      </w:r>
      <w:r w:rsidR="0017473A" w:rsidRPr="0047695D">
        <w:rPr>
          <w:rFonts w:ascii="Arial" w:hAnsi="Arial" w:cs="Arial"/>
          <w:sz w:val="22"/>
          <w:szCs w:val="22"/>
          <w:lang w:val="ro-RO"/>
        </w:rPr>
        <w:t xml:space="preserve">. Proiectul </w:t>
      </w:r>
      <w:r w:rsidR="00AF21B5">
        <w:rPr>
          <w:rFonts w:ascii="Arial" w:hAnsi="Arial" w:cs="Arial"/>
          <w:sz w:val="22"/>
          <w:szCs w:val="22"/>
          <w:lang w:val="ro-RO"/>
        </w:rPr>
        <w:t>este</w:t>
      </w:r>
      <w:r w:rsidR="0017473A" w:rsidRPr="0047695D">
        <w:rPr>
          <w:rFonts w:ascii="Arial" w:hAnsi="Arial" w:cs="Arial"/>
          <w:sz w:val="22"/>
          <w:szCs w:val="22"/>
          <w:lang w:val="ro-RO"/>
        </w:rPr>
        <w:t xml:space="preserve"> realizat cu susținerea financiară a </w:t>
      </w:r>
      <w:r w:rsidR="0017473A" w:rsidRPr="0047695D">
        <w:rPr>
          <w:rFonts w:ascii="Arial" w:eastAsia="Times New Roman" w:hAnsi="Arial" w:cs="Arial"/>
          <w:sz w:val="22"/>
          <w:szCs w:val="22"/>
          <w:lang w:val="ro-RO" w:eastAsia="ar-SA"/>
        </w:rPr>
        <w:t>Programului Sănătate Publică / Inițiative în Sănătate Mintală al</w:t>
      </w:r>
      <w:r w:rsidR="0017473A" w:rsidRPr="0047695D">
        <w:rPr>
          <w:rFonts w:ascii="Arial" w:hAnsi="Arial" w:cs="Arial"/>
          <w:sz w:val="22"/>
          <w:szCs w:val="22"/>
          <w:lang w:val="ro-RO"/>
        </w:rPr>
        <w:t xml:space="preserve"> Fundației Soros-Moldova în perioada octombrie 2015-decembrie 2016. </w:t>
      </w:r>
      <w:r w:rsidRPr="0047695D">
        <w:rPr>
          <w:rFonts w:ascii="Arial" w:eastAsia="Times New Roman" w:hAnsi="Arial" w:cs="Arial"/>
          <w:sz w:val="22"/>
          <w:szCs w:val="22"/>
          <w:lang w:val="ro-RO" w:eastAsia="ar-SA"/>
        </w:rPr>
        <w:t>Scopul proiectului</w:t>
      </w:r>
      <w:r w:rsidR="0017473A" w:rsidRPr="0047695D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este </w:t>
      </w:r>
      <w:r w:rsidRPr="0047695D">
        <w:rPr>
          <w:rFonts w:ascii="Arial" w:hAnsi="Arial" w:cs="Arial"/>
          <w:sz w:val="22"/>
          <w:szCs w:val="22"/>
          <w:lang w:val="ro-RO"/>
        </w:rPr>
        <w:t xml:space="preserve">asigurarea durabilității serviciilor și reformelor </w:t>
      </w:r>
      <w:r w:rsidR="0017473A" w:rsidRPr="0047695D">
        <w:rPr>
          <w:rFonts w:ascii="Arial" w:hAnsi="Arial" w:cs="Arial"/>
          <w:sz w:val="22"/>
          <w:szCs w:val="22"/>
          <w:lang w:val="ro-RO"/>
        </w:rPr>
        <w:t xml:space="preserve">inițiate </w:t>
      </w:r>
      <w:r w:rsidRPr="0047695D">
        <w:rPr>
          <w:rFonts w:ascii="Arial" w:hAnsi="Arial" w:cs="Arial"/>
          <w:sz w:val="22"/>
          <w:szCs w:val="22"/>
          <w:lang w:val="ro-RO"/>
        </w:rPr>
        <w:t>în domeniul dezinstituționalizării și incluziunii sociale a persoanelor cu dizabilități mintale.</w:t>
      </w:r>
      <w:r w:rsidR="0017473A" w:rsidRPr="0047695D">
        <w:rPr>
          <w:rFonts w:ascii="Arial" w:hAnsi="Arial" w:cs="Arial"/>
          <w:sz w:val="22"/>
          <w:szCs w:val="22"/>
          <w:lang w:val="ro-RO"/>
        </w:rPr>
        <w:t xml:space="preserve"> Proiectul urmărește două obiective generale: </w:t>
      </w:r>
      <w:r w:rsidRPr="0047695D">
        <w:rPr>
          <w:rFonts w:ascii="Arial" w:eastAsia="Times New Roman" w:hAnsi="Arial" w:cs="Arial"/>
          <w:b/>
          <w:sz w:val="22"/>
          <w:szCs w:val="22"/>
          <w:lang w:val="ro-RO" w:eastAsia="ar-SA"/>
        </w:rPr>
        <w:t xml:space="preserve"> </w:t>
      </w:r>
    </w:p>
    <w:p w:rsidR="00536409" w:rsidRPr="0047695D" w:rsidRDefault="00536409" w:rsidP="00566BCE">
      <w:pPr>
        <w:jc w:val="both"/>
        <w:rPr>
          <w:rFonts w:ascii="Arial" w:eastAsia="Times New Roman" w:hAnsi="Arial" w:cs="Arial"/>
          <w:sz w:val="22"/>
          <w:szCs w:val="22"/>
          <w:lang w:val="ro-RO" w:eastAsia="ar-SA"/>
        </w:rPr>
      </w:pPr>
    </w:p>
    <w:p w:rsidR="00FF3A3A" w:rsidRPr="0047695D" w:rsidRDefault="00F65956" w:rsidP="00FC7E97">
      <w:pPr>
        <w:pStyle w:val="ListParagraph"/>
        <w:numPr>
          <w:ilvl w:val="0"/>
          <w:numId w:val="2"/>
        </w:numPr>
        <w:snapToGrid w:val="0"/>
        <w:spacing w:after="0" w:line="240" w:lineRule="auto"/>
        <w:ind w:left="720"/>
        <w:jc w:val="both"/>
        <w:rPr>
          <w:rFonts w:ascii="Arial" w:eastAsia="Times New Roman" w:hAnsi="Arial" w:cs="Arial"/>
          <w:lang w:val="ro-RO" w:eastAsia="ar-SA"/>
        </w:rPr>
      </w:pPr>
      <w:r w:rsidRPr="0047695D">
        <w:rPr>
          <w:rFonts w:ascii="Arial" w:hAnsi="Arial" w:cs="Arial"/>
          <w:lang w:val="ro-RO"/>
        </w:rPr>
        <w:t xml:space="preserve">Suport APL din 10 raioane în continuarea reformei de dezinstituționalizare și asigurarea calității serviciilor sociale dezvoltate în cadrul </w:t>
      </w:r>
      <w:r w:rsidR="00AF21B5">
        <w:rPr>
          <w:rFonts w:ascii="Arial" w:hAnsi="Arial" w:cs="Arial"/>
          <w:lang w:val="ro-RO"/>
        </w:rPr>
        <w:t>Programului</w:t>
      </w:r>
      <w:r w:rsidRPr="0047695D">
        <w:rPr>
          <w:rFonts w:ascii="Arial" w:hAnsi="Arial" w:cs="Arial"/>
          <w:lang w:val="ro-RO"/>
        </w:rPr>
        <w:t xml:space="preserve"> </w:t>
      </w:r>
      <w:r w:rsidR="00AF21B5">
        <w:rPr>
          <w:rFonts w:ascii="Arial" w:hAnsi="Arial" w:cs="Arial"/>
          <w:lang w:val="ro-RO"/>
        </w:rPr>
        <w:t>”</w:t>
      </w:r>
      <w:r w:rsidRPr="0047695D">
        <w:rPr>
          <w:rFonts w:ascii="Arial" w:hAnsi="Arial" w:cs="Arial"/>
          <w:lang w:val="ro-RO"/>
        </w:rPr>
        <w:t xml:space="preserve">Comunitate Incluzivă </w:t>
      </w:r>
      <w:r w:rsidR="00AF21B5">
        <w:rPr>
          <w:rFonts w:ascii="Arial" w:hAnsi="Arial" w:cs="Arial"/>
          <w:lang w:val="ro-RO"/>
        </w:rPr>
        <w:t>–</w:t>
      </w:r>
      <w:r w:rsidRPr="0047695D">
        <w:rPr>
          <w:rFonts w:ascii="Arial" w:hAnsi="Arial" w:cs="Arial"/>
          <w:lang w:val="ro-RO"/>
        </w:rPr>
        <w:t xml:space="preserve"> Moldova</w:t>
      </w:r>
      <w:r w:rsidR="00AF21B5">
        <w:rPr>
          <w:rFonts w:ascii="Arial" w:hAnsi="Arial" w:cs="Arial"/>
          <w:lang w:val="ro-RO"/>
        </w:rPr>
        <w:t>”</w:t>
      </w:r>
      <w:r w:rsidRPr="0047695D">
        <w:rPr>
          <w:rFonts w:ascii="Arial" w:hAnsi="Arial" w:cs="Arial"/>
          <w:lang w:val="ro-RO"/>
        </w:rPr>
        <w:t>.</w:t>
      </w:r>
    </w:p>
    <w:p w:rsidR="00F65956" w:rsidRPr="0047695D" w:rsidRDefault="00F65956" w:rsidP="00FC7E97">
      <w:pPr>
        <w:pStyle w:val="ListParagraph"/>
        <w:numPr>
          <w:ilvl w:val="0"/>
          <w:numId w:val="2"/>
        </w:numPr>
        <w:snapToGrid w:val="0"/>
        <w:spacing w:after="0" w:line="240" w:lineRule="auto"/>
        <w:ind w:left="720"/>
        <w:jc w:val="both"/>
        <w:rPr>
          <w:rFonts w:ascii="Arial" w:eastAsia="Times New Roman" w:hAnsi="Arial" w:cs="Arial"/>
          <w:lang w:val="ro-RO" w:eastAsia="ar-SA"/>
        </w:rPr>
      </w:pPr>
      <w:r w:rsidRPr="0047695D">
        <w:rPr>
          <w:rFonts w:ascii="Arial" w:hAnsi="Arial" w:cs="Arial"/>
          <w:lang w:val="ro-RO"/>
        </w:rPr>
        <w:t xml:space="preserve">Suport </w:t>
      </w:r>
      <w:r w:rsidR="009B1607">
        <w:rPr>
          <w:rFonts w:ascii="Arial" w:hAnsi="Arial" w:cs="Arial"/>
          <w:lang w:val="ro-RO"/>
        </w:rPr>
        <w:t>MMPSF</w:t>
      </w:r>
      <w:r w:rsidRPr="0047695D">
        <w:rPr>
          <w:rFonts w:ascii="Arial" w:hAnsi="Arial" w:cs="Arial"/>
          <w:lang w:val="ro-RO"/>
        </w:rPr>
        <w:t xml:space="preserve"> în implementarea Convenției ONU privind drepturile persoanelor cu dizabilități </w:t>
      </w:r>
      <w:r w:rsidR="00536409">
        <w:rPr>
          <w:rFonts w:ascii="Arial" w:hAnsi="Arial" w:cs="Arial"/>
          <w:lang w:val="ro-RO"/>
        </w:rPr>
        <w:t xml:space="preserve">(suport în </w:t>
      </w:r>
      <w:r w:rsidR="00AF21B5">
        <w:rPr>
          <w:rFonts w:ascii="Arial" w:hAnsi="Arial" w:cs="Arial"/>
          <w:lang w:val="ro-RO"/>
        </w:rPr>
        <w:t xml:space="preserve">elaborarea Planului Național de </w:t>
      </w:r>
      <w:r w:rsidR="00536409">
        <w:rPr>
          <w:rFonts w:ascii="Arial" w:hAnsi="Arial" w:cs="Arial"/>
          <w:lang w:val="ro-RO"/>
        </w:rPr>
        <w:t>i</w:t>
      </w:r>
      <w:r w:rsidR="00AF21B5">
        <w:rPr>
          <w:rFonts w:ascii="Arial" w:hAnsi="Arial" w:cs="Arial"/>
          <w:lang w:val="ro-RO"/>
        </w:rPr>
        <w:t xml:space="preserve">ncluziune </w:t>
      </w:r>
      <w:r w:rsidR="00536409">
        <w:rPr>
          <w:rFonts w:ascii="Arial" w:hAnsi="Arial" w:cs="Arial"/>
          <w:lang w:val="ro-RO"/>
        </w:rPr>
        <w:t>s</w:t>
      </w:r>
      <w:r w:rsidR="00AF21B5">
        <w:rPr>
          <w:rFonts w:ascii="Arial" w:hAnsi="Arial" w:cs="Arial"/>
          <w:lang w:val="ro-RO"/>
        </w:rPr>
        <w:t xml:space="preserve">ocială </w:t>
      </w:r>
      <w:r w:rsidR="00536409">
        <w:rPr>
          <w:rFonts w:ascii="Arial" w:hAnsi="Arial" w:cs="Arial"/>
          <w:lang w:val="ro-RO"/>
        </w:rPr>
        <w:t xml:space="preserve">a persoanelor cu dizabilități </w:t>
      </w:r>
      <w:r w:rsidRPr="0047695D">
        <w:rPr>
          <w:rFonts w:ascii="Arial" w:hAnsi="Arial" w:cs="Arial"/>
          <w:lang w:val="ro-RO"/>
        </w:rPr>
        <w:t xml:space="preserve">și </w:t>
      </w:r>
      <w:r w:rsidR="00AF21B5">
        <w:rPr>
          <w:rFonts w:ascii="Arial" w:hAnsi="Arial" w:cs="Arial"/>
          <w:lang w:val="ro-RO"/>
        </w:rPr>
        <w:t xml:space="preserve">îmbunătățirea mecanismului de finanțare a </w:t>
      </w:r>
      <w:r w:rsidRPr="0047695D">
        <w:rPr>
          <w:rFonts w:ascii="Arial" w:hAnsi="Arial" w:cs="Arial"/>
          <w:lang w:val="ro-RO"/>
        </w:rPr>
        <w:t>serviciile sociale</w:t>
      </w:r>
      <w:r w:rsidR="00536409">
        <w:rPr>
          <w:rFonts w:ascii="Arial" w:hAnsi="Arial" w:cs="Arial"/>
          <w:lang w:val="ro-RO"/>
        </w:rPr>
        <w:t>)</w:t>
      </w:r>
      <w:r w:rsidRPr="0047695D">
        <w:rPr>
          <w:rFonts w:ascii="Arial" w:hAnsi="Arial" w:cs="Arial"/>
          <w:lang w:val="ro-RO"/>
        </w:rPr>
        <w:t>.</w:t>
      </w:r>
    </w:p>
    <w:p w:rsidR="00AF21B5" w:rsidRDefault="00AF21B5" w:rsidP="00AF21B5">
      <w:pPr>
        <w:snapToGrid w:val="0"/>
        <w:jc w:val="both"/>
        <w:rPr>
          <w:rFonts w:ascii="Arial" w:eastAsia="Times New Roman" w:hAnsi="Arial" w:cs="Arial"/>
          <w:sz w:val="22"/>
          <w:szCs w:val="22"/>
          <w:lang w:val="ro-RO" w:eastAsia="ar-SA"/>
        </w:rPr>
      </w:pPr>
    </w:p>
    <w:p w:rsidR="00961BD0" w:rsidRDefault="003E148C" w:rsidP="00961BD0">
      <w:pPr>
        <w:pStyle w:val="NoSpacing"/>
        <w:jc w:val="both"/>
        <w:rPr>
          <w:rFonts w:ascii="Arial" w:hAnsi="Arial" w:cs="Arial"/>
          <w:lang w:val="ro-RO" w:eastAsia="ar-SA"/>
        </w:rPr>
      </w:pPr>
      <w:r w:rsidRPr="0047695D">
        <w:rPr>
          <w:rFonts w:ascii="Arial" w:eastAsia="Times New Roman" w:hAnsi="Arial" w:cs="Arial"/>
          <w:lang w:val="ro-RO" w:eastAsia="ar-SA"/>
        </w:rPr>
        <w:t xml:space="preserve">Pentru implementarea </w:t>
      </w:r>
      <w:r w:rsidR="00FF3A3A" w:rsidRPr="0047695D">
        <w:rPr>
          <w:rFonts w:ascii="Arial" w:eastAsia="Times New Roman" w:hAnsi="Arial" w:cs="Arial"/>
          <w:lang w:val="ro-RO" w:eastAsia="ar-SA"/>
        </w:rPr>
        <w:t>O</w:t>
      </w:r>
      <w:r w:rsidRPr="0047695D">
        <w:rPr>
          <w:rFonts w:ascii="Arial" w:eastAsia="Times New Roman" w:hAnsi="Arial" w:cs="Arial"/>
          <w:lang w:val="ro-RO" w:eastAsia="ar-SA"/>
        </w:rPr>
        <w:t xml:space="preserve">biectivului 2, </w:t>
      </w:r>
      <w:r w:rsidRPr="0047695D">
        <w:rPr>
          <w:rFonts w:ascii="Arial" w:hAnsi="Arial" w:cs="Arial"/>
          <w:lang w:val="ro-RO"/>
        </w:rPr>
        <w:t>Keystone</w:t>
      </w:r>
      <w:r w:rsidR="00AF21B5">
        <w:rPr>
          <w:rFonts w:ascii="Arial" w:hAnsi="Arial" w:cs="Arial"/>
          <w:lang w:val="ro-RO"/>
        </w:rPr>
        <w:t xml:space="preserve"> Moldova în parteneriat cu </w:t>
      </w:r>
      <w:r w:rsidRPr="0047695D">
        <w:rPr>
          <w:rFonts w:ascii="Arial" w:hAnsi="Arial" w:cs="Arial"/>
          <w:lang w:val="ro-RO"/>
        </w:rPr>
        <w:t xml:space="preserve">MMPSF vor selecta un </w:t>
      </w:r>
      <w:r w:rsidR="00AF21B5">
        <w:rPr>
          <w:rFonts w:ascii="Arial" w:hAnsi="Arial" w:cs="Arial"/>
          <w:lang w:val="ro-RO"/>
        </w:rPr>
        <w:t xml:space="preserve">consultant în domeniul finanțelor publice care va </w:t>
      </w:r>
      <w:r w:rsidR="00BD4B79">
        <w:rPr>
          <w:rFonts w:ascii="Arial" w:hAnsi="Arial" w:cs="Arial"/>
          <w:lang w:val="ro-RO"/>
        </w:rPr>
        <w:t xml:space="preserve">acorda asistență și mentorat echipei Keystone Moldova și </w:t>
      </w:r>
      <w:r w:rsidR="00F217E4">
        <w:rPr>
          <w:rFonts w:ascii="Arial" w:hAnsi="Arial" w:cs="Arial"/>
          <w:lang w:val="ro-RO"/>
        </w:rPr>
        <w:t xml:space="preserve">Grupului de lucru intersectorial pentru elaborarea unui mecanism de finanțare a serviciilor sociale standardizat la nivel național creat de către MMPSF. </w:t>
      </w:r>
    </w:p>
    <w:p w:rsidR="00536409" w:rsidRDefault="00961BD0" w:rsidP="009857A9">
      <w:pPr>
        <w:snapToGrid w:val="0"/>
        <w:jc w:val="both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39287C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3E148C" w:rsidRPr="0047695D" w:rsidRDefault="003E148C" w:rsidP="00961BD0">
      <w:pPr>
        <w:ind w:firstLine="360"/>
        <w:jc w:val="both"/>
        <w:rPr>
          <w:rFonts w:ascii="Arial" w:eastAsia="Times New Roman" w:hAnsi="Arial" w:cs="Arial"/>
          <w:b/>
          <w:sz w:val="22"/>
          <w:szCs w:val="22"/>
          <w:lang w:val="ro-RO" w:eastAsia="ar-SA"/>
        </w:rPr>
      </w:pPr>
      <w:r w:rsidRPr="0047695D">
        <w:rPr>
          <w:rFonts w:ascii="Arial" w:hAnsi="Arial" w:cs="Arial"/>
          <w:b/>
          <w:sz w:val="22"/>
          <w:szCs w:val="22"/>
          <w:lang w:val="ro-RO"/>
        </w:rPr>
        <w:t xml:space="preserve">Responsabilitățile </w:t>
      </w:r>
      <w:r w:rsidR="0003391D">
        <w:rPr>
          <w:rFonts w:ascii="Arial" w:eastAsia="Times New Roman" w:hAnsi="Arial" w:cs="Arial"/>
          <w:b/>
          <w:sz w:val="22"/>
          <w:szCs w:val="22"/>
          <w:lang w:val="ro-RO" w:eastAsia="ar-SA"/>
        </w:rPr>
        <w:t xml:space="preserve">consultantului: </w:t>
      </w:r>
    </w:p>
    <w:p w:rsidR="00FC7E97" w:rsidRPr="0047695D" w:rsidRDefault="00C94011" w:rsidP="00C94011">
      <w:pPr>
        <w:suppressAutoHyphens/>
        <w:ind w:left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eastAsia="Times New Roman" w:hAnsi="Arial" w:cs="Arial"/>
          <w:sz w:val="22"/>
          <w:szCs w:val="22"/>
          <w:lang w:val="ro-RO" w:eastAsia="ar-SA"/>
        </w:rPr>
        <w:t xml:space="preserve"> </w:t>
      </w:r>
      <w:r w:rsidR="0047695D" w:rsidRPr="0047695D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4756"/>
        <w:gridCol w:w="2574"/>
        <w:gridCol w:w="2574"/>
      </w:tblGrid>
      <w:tr w:rsidR="006457E1" w:rsidRPr="00DA60D8" w:rsidTr="00317BC6">
        <w:tc>
          <w:tcPr>
            <w:tcW w:w="392" w:type="dxa"/>
          </w:tcPr>
          <w:p w:rsidR="006457E1" w:rsidRPr="001E1773" w:rsidRDefault="006457E1" w:rsidP="00317BC6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4756" w:type="dxa"/>
          </w:tcPr>
          <w:p w:rsidR="006457E1" w:rsidRPr="001E1773" w:rsidRDefault="006457E1" w:rsidP="00317BC6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1E1773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Activitatea </w:t>
            </w:r>
          </w:p>
        </w:tc>
        <w:tc>
          <w:tcPr>
            <w:tcW w:w="2574" w:type="dxa"/>
          </w:tcPr>
          <w:p w:rsidR="006457E1" w:rsidRPr="001E1773" w:rsidRDefault="006457E1" w:rsidP="00317BC6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Perioada </w:t>
            </w:r>
          </w:p>
        </w:tc>
        <w:tc>
          <w:tcPr>
            <w:tcW w:w="2574" w:type="dxa"/>
          </w:tcPr>
          <w:p w:rsidR="006457E1" w:rsidRPr="001E1773" w:rsidRDefault="006457E1" w:rsidP="00317BC6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Nr. de zile de consultanță </w:t>
            </w:r>
          </w:p>
        </w:tc>
      </w:tr>
      <w:tr w:rsidR="006457E1" w:rsidTr="00317BC6">
        <w:tc>
          <w:tcPr>
            <w:tcW w:w="392" w:type="dxa"/>
          </w:tcPr>
          <w:p w:rsidR="006457E1" w:rsidRDefault="006457E1" w:rsidP="00317BC6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1</w:t>
            </w:r>
          </w:p>
        </w:tc>
        <w:tc>
          <w:tcPr>
            <w:tcW w:w="4756" w:type="dxa"/>
          </w:tcPr>
          <w:p w:rsidR="006457E1" w:rsidRDefault="006457E1" w:rsidP="00873EBA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Id</w:t>
            </w:r>
            <w:r w:rsidRPr="007C29A7">
              <w:rPr>
                <w:rFonts w:ascii="Arial" w:hAnsi="Arial" w:cs="Arial"/>
                <w:sz w:val="22"/>
                <w:szCs w:val="22"/>
                <w:lang w:val="ro-RO"/>
              </w:rPr>
              <w:t>entificarea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7C29A7">
              <w:rPr>
                <w:rFonts w:ascii="Arial" w:hAnsi="Arial" w:cs="Arial"/>
                <w:sz w:val="22"/>
                <w:szCs w:val="22"/>
                <w:lang w:val="ro-RO"/>
              </w:rPr>
              <w:t xml:space="preserve">riscurilor de finanțare a serviciilor sociale în contextul implementării </w:t>
            </w:r>
            <w:r w:rsidRPr="00AD43E8">
              <w:rPr>
                <w:rFonts w:ascii="Arial" w:hAnsi="Arial" w:cs="Arial"/>
                <w:sz w:val="22"/>
                <w:szCs w:val="22"/>
                <w:lang w:val="ro-RO" w:eastAsia="ar-SA"/>
              </w:rPr>
              <w:t>Leg</w:t>
            </w:r>
            <w:r>
              <w:rPr>
                <w:rFonts w:ascii="Arial" w:hAnsi="Arial" w:cs="Arial"/>
                <w:sz w:val="22"/>
                <w:szCs w:val="22"/>
                <w:lang w:val="ro-RO" w:eastAsia="ar-SA"/>
              </w:rPr>
              <w:t>ii</w:t>
            </w:r>
            <w:r w:rsidRPr="00AD43E8">
              <w:rPr>
                <w:rFonts w:ascii="Arial" w:hAnsi="Arial" w:cs="Arial"/>
                <w:sz w:val="22"/>
                <w:szCs w:val="22"/>
                <w:lang w:val="ro-RO" w:eastAsia="ar-SA"/>
              </w:rPr>
              <w:t xml:space="preserve"> nr. 397-XV din 16.10.2003 privind finanțele publice locale</w:t>
            </w:r>
            <w:r w:rsidRPr="007C29A7">
              <w:rPr>
                <w:rFonts w:ascii="Arial" w:hAnsi="Arial" w:cs="Arial"/>
                <w:sz w:val="22"/>
                <w:szCs w:val="22"/>
                <w:lang w:val="ro-RO"/>
              </w:rPr>
              <w:t xml:space="preserve"> și a </w:t>
            </w:r>
            <w:r w:rsidRPr="0039287C">
              <w:rPr>
                <w:rFonts w:ascii="Arial" w:hAnsi="Arial" w:cs="Arial"/>
                <w:sz w:val="22"/>
                <w:szCs w:val="22"/>
                <w:lang w:val="ro-RO" w:eastAsia="ar-SA"/>
              </w:rPr>
              <w:t>Legii nr. 435 din 28.12.2006 privind descentralizarea administrativă</w:t>
            </w:r>
            <w:r>
              <w:rPr>
                <w:rFonts w:ascii="Arial" w:hAnsi="Arial" w:cs="Arial"/>
                <w:sz w:val="22"/>
                <w:szCs w:val="22"/>
                <w:lang w:val="ro-RO" w:eastAsia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și informarea Grupului de lucru intersectorial despre măsurile de litigare a riscurilor</w:t>
            </w:r>
            <w:r w:rsidRPr="007C29A7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2574" w:type="dxa"/>
          </w:tcPr>
          <w:p w:rsidR="006457E1" w:rsidRDefault="000B0E05" w:rsidP="00317BC6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Iulie</w:t>
            </w:r>
            <w:r w:rsidR="006457E1">
              <w:rPr>
                <w:rFonts w:ascii="Arial" w:hAnsi="Arial" w:cs="Arial"/>
                <w:sz w:val="22"/>
                <w:szCs w:val="22"/>
                <w:lang w:val="ro-RO"/>
              </w:rPr>
              <w:t xml:space="preserve"> 2016 </w:t>
            </w:r>
          </w:p>
        </w:tc>
        <w:tc>
          <w:tcPr>
            <w:tcW w:w="2574" w:type="dxa"/>
          </w:tcPr>
          <w:p w:rsidR="006457E1" w:rsidRDefault="00DA60D8" w:rsidP="00317BC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5 </w:t>
            </w:r>
            <w:r w:rsidR="006457E1">
              <w:rPr>
                <w:rFonts w:ascii="Arial" w:hAnsi="Arial" w:cs="Arial"/>
                <w:sz w:val="22"/>
                <w:szCs w:val="22"/>
                <w:lang w:val="ro-RO"/>
              </w:rPr>
              <w:t>zile</w:t>
            </w:r>
          </w:p>
        </w:tc>
      </w:tr>
      <w:tr w:rsidR="006457E1" w:rsidTr="00317BC6">
        <w:tc>
          <w:tcPr>
            <w:tcW w:w="392" w:type="dxa"/>
          </w:tcPr>
          <w:p w:rsidR="006457E1" w:rsidRDefault="006457E1" w:rsidP="00317BC6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2</w:t>
            </w:r>
          </w:p>
        </w:tc>
        <w:tc>
          <w:tcPr>
            <w:tcW w:w="4756" w:type="dxa"/>
          </w:tcPr>
          <w:p w:rsidR="006457E1" w:rsidRDefault="006457E1" w:rsidP="00873EBA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Analiza practicilor europene cu privire la standardele de cost, mecanismul de finanțare a serviciilor și elaborarea unui pachet minim (critic) de servicii sociale pentru diferite categorii de populație care se află în condiții de vulnerabilitate</w:t>
            </w:r>
          </w:p>
        </w:tc>
        <w:tc>
          <w:tcPr>
            <w:tcW w:w="2574" w:type="dxa"/>
          </w:tcPr>
          <w:p w:rsidR="006457E1" w:rsidRDefault="000B0E05" w:rsidP="00317BC6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Iulie</w:t>
            </w:r>
            <w:r w:rsidR="006457E1">
              <w:rPr>
                <w:rFonts w:ascii="Arial" w:hAnsi="Arial" w:cs="Arial"/>
                <w:sz w:val="22"/>
                <w:szCs w:val="22"/>
                <w:lang w:val="ro-RO"/>
              </w:rPr>
              <w:t xml:space="preserve"> 2016 </w:t>
            </w:r>
          </w:p>
        </w:tc>
        <w:tc>
          <w:tcPr>
            <w:tcW w:w="2574" w:type="dxa"/>
          </w:tcPr>
          <w:p w:rsidR="006457E1" w:rsidRDefault="00DA60D8" w:rsidP="00317BC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9</w:t>
            </w:r>
            <w:bookmarkStart w:id="0" w:name="_GoBack"/>
            <w:bookmarkEnd w:id="0"/>
            <w:r w:rsidR="006457E1">
              <w:rPr>
                <w:rFonts w:ascii="Arial" w:hAnsi="Arial" w:cs="Arial"/>
                <w:sz w:val="22"/>
                <w:szCs w:val="22"/>
                <w:lang w:val="ro-RO"/>
              </w:rPr>
              <w:t xml:space="preserve"> zile</w:t>
            </w:r>
          </w:p>
        </w:tc>
      </w:tr>
      <w:tr w:rsidR="006457E1" w:rsidTr="00317BC6">
        <w:tc>
          <w:tcPr>
            <w:tcW w:w="392" w:type="dxa"/>
          </w:tcPr>
          <w:p w:rsidR="006457E1" w:rsidRDefault="006457E1" w:rsidP="00317BC6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lastRenderedPageBreak/>
              <w:t>3</w:t>
            </w:r>
          </w:p>
        </w:tc>
        <w:tc>
          <w:tcPr>
            <w:tcW w:w="4756" w:type="dxa"/>
          </w:tcPr>
          <w:p w:rsidR="006457E1" w:rsidRDefault="006457E1" w:rsidP="00873EBA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Elaborarea costurilor pentru pachetul minim de servicii propus spre finanț</w:t>
            </w:r>
            <w:r w:rsidR="000B0E05">
              <w:rPr>
                <w:rFonts w:ascii="Arial" w:hAnsi="Arial" w:cs="Arial"/>
                <w:sz w:val="22"/>
                <w:szCs w:val="22"/>
                <w:lang w:val="ro-RO"/>
              </w:rPr>
              <w:t>are de la bugetul de stat</w:t>
            </w:r>
          </w:p>
        </w:tc>
        <w:tc>
          <w:tcPr>
            <w:tcW w:w="2574" w:type="dxa"/>
          </w:tcPr>
          <w:p w:rsidR="006457E1" w:rsidRDefault="000B0E05" w:rsidP="00317BC6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August</w:t>
            </w:r>
            <w:r w:rsidR="006457E1">
              <w:rPr>
                <w:rFonts w:ascii="Arial" w:hAnsi="Arial" w:cs="Arial"/>
                <w:sz w:val="22"/>
                <w:szCs w:val="22"/>
                <w:lang w:val="ro-RO"/>
              </w:rPr>
              <w:t xml:space="preserve"> 2016 </w:t>
            </w:r>
          </w:p>
        </w:tc>
        <w:tc>
          <w:tcPr>
            <w:tcW w:w="2574" w:type="dxa"/>
          </w:tcPr>
          <w:p w:rsidR="006457E1" w:rsidRDefault="00DA60D8" w:rsidP="00317BC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8</w:t>
            </w:r>
            <w:r w:rsidR="006457E1">
              <w:rPr>
                <w:rFonts w:ascii="Arial" w:hAnsi="Arial" w:cs="Arial"/>
                <w:sz w:val="22"/>
                <w:szCs w:val="22"/>
                <w:lang w:val="ro-RO"/>
              </w:rPr>
              <w:t xml:space="preserve"> zile</w:t>
            </w:r>
          </w:p>
        </w:tc>
      </w:tr>
      <w:tr w:rsidR="006457E1" w:rsidTr="00873EBA">
        <w:trPr>
          <w:trHeight w:val="2142"/>
        </w:trPr>
        <w:tc>
          <w:tcPr>
            <w:tcW w:w="392" w:type="dxa"/>
          </w:tcPr>
          <w:p w:rsidR="006457E1" w:rsidRDefault="006457E1" w:rsidP="00317BC6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4</w:t>
            </w:r>
          </w:p>
        </w:tc>
        <w:tc>
          <w:tcPr>
            <w:tcW w:w="4756" w:type="dxa"/>
          </w:tcPr>
          <w:p w:rsidR="006457E1" w:rsidRDefault="006457E1" w:rsidP="00873EBA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Analiza posibilităților de redirecționare a resurselor financiare destinate serviciilor rezidențiale de îngrijire a persoanelor cu dizabilități mintale severe, la servicii sociale comunitare în procesul de transformare a instituțiilor rezidențiale și elaborarea unor instrucțiuni de elaborare a costurilor pentru dezvoltarea serviciilor comunitare  </w:t>
            </w:r>
          </w:p>
        </w:tc>
        <w:tc>
          <w:tcPr>
            <w:tcW w:w="2574" w:type="dxa"/>
          </w:tcPr>
          <w:p w:rsidR="006457E1" w:rsidRDefault="006457E1" w:rsidP="000B0E0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Iulie </w:t>
            </w:r>
            <w:r w:rsidR="00BC6CB6">
              <w:rPr>
                <w:rFonts w:ascii="Arial" w:hAnsi="Arial" w:cs="Arial"/>
                <w:sz w:val="22"/>
                <w:szCs w:val="22"/>
                <w:lang w:val="ro-RO"/>
              </w:rPr>
              <w:t>-</w:t>
            </w:r>
            <w:r w:rsidR="000B0E05">
              <w:rPr>
                <w:rFonts w:ascii="Arial" w:hAnsi="Arial" w:cs="Arial"/>
                <w:sz w:val="22"/>
                <w:szCs w:val="22"/>
                <w:lang w:val="ro-RO"/>
              </w:rPr>
              <w:t xml:space="preserve"> August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2016 </w:t>
            </w:r>
          </w:p>
        </w:tc>
        <w:tc>
          <w:tcPr>
            <w:tcW w:w="2574" w:type="dxa"/>
          </w:tcPr>
          <w:p w:rsidR="006457E1" w:rsidRDefault="006457E1" w:rsidP="00317BC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5 zile</w:t>
            </w:r>
          </w:p>
        </w:tc>
      </w:tr>
      <w:tr w:rsidR="006457E1" w:rsidRPr="000B0E05" w:rsidTr="00317BC6">
        <w:tc>
          <w:tcPr>
            <w:tcW w:w="392" w:type="dxa"/>
          </w:tcPr>
          <w:p w:rsidR="006457E1" w:rsidRDefault="006457E1" w:rsidP="00317BC6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5</w:t>
            </w:r>
          </w:p>
        </w:tc>
        <w:tc>
          <w:tcPr>
            <w:tcW w:w="4756" w:type="dxa"/>
          </w:tcPr>
          <w:p w:rsidR="006457E1" w:rsidRDefault="006457E1" w:rsidP="00873EBA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Asigurarea activităților de mentorat în procesul de elaborare a mecanismului de finanțare </w:t>
            </w:r>
            <w:r w:rsidR="000B0E05">
              <w:rPr>
                <w:rFonts w:ascii="Arial" w:hAnsi="Arial" w:cs="Arial"/>
                <w:sz w:val="22"/>
                <w:szCs w:val="22"/>
                <w:lang w:val="ro-RO"/>
              </w:rPr>
              <w:t>a serviciilor sociale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2574" w:type="dxa"/>
          </w:tcPr>
          <w:p w:rsidR="006457E1" w:rsidRDefault="006457E1" w:rsidP="000B0E0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Iulie </w:t>
            </w:r>
            <w:r w:rsidR="000B0E05">
              <w:rPr>
                <w:rFonts w:ascii="Arial" w:hAnsi="Arial" w:cs="Arial"/>
                <w:sz w:val="22"/>
                <w:szCs w:val="22"/>
                <w:lang w:val="ro-RO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0B0E05">
              <w:rPr>
                <w:rFonts w:ascii="Arial" w:hAnsi="Arial" w:cs="Arial"/>
                <w:sz w:val="22"/>
                <w:szCs w:val="22"/>
                <w:lang w:val="ro-RO"/>
              </w:rPr>
              <w:t xml:space="preserve">Septembrie 2016 </w:t>
            </w:r>
          </w:p>
        </w:tc>
        <w:tc>
          <w:tcPr>
            <w:tcW w:w="2574" w:type="dxa"/>
          </w:tcPr>
          <w:p w:rsidR="006457E1" w:rsidRDefault="00DA60D8" w:rsidP="00317BC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3</w:t>
            </w:r>
            <w:r w:rsidR="006457E1">
              <w:rPr>
                <w:rFonts w:ascii="Arial" w:hAnsi="Arial" w:cs="Arial"/>
                <w:sz w:val="22"/>
                <w:szCs w:val="22"/>
                <w:lang w:val="ro-RO"/>
              </w:rPr>
              <w:t xml:space="preserve"> zile</w:t>
            </w:r>
          </w:p>
        </w:tc>
      </w:tr>
      <w:tr w:rsidR="006457E1" w:rsidRPr="000B0E05" w:rsidTr="00317BC6">
        <w:tc>
          <w:tcPr>
            <w:tcW w:w="392" w:type="dxa"/>
          </w:tcPr>
          <w:p w:rsidR="006457E1" w:rsidRPr="00751C14" w:rsidRDefault="006457E1" w:rsidP="00317BC6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4756" w:type="dxa"/>
          </w:tcPr>
          <w:p w:rsidR="006457E1" w:rsidRPr="00751C14" w:rsidRDefault="006457E1" w:rsidP="00317BC6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51C14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Total </w:t>
            </w:r>
          </w:p>
        </w:tc>
        <w:tc>
          <w:tcPr>
            <w:tcW w:w="2574" w:type="dxa"/>
          </w:tcPr>
          <w:p w:rsidR="006457E1" w:rsidRPr="00751C14" w:rsidRDefault="006457E1" w:rsidP="00317BC6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2574" w:type="dxa"/>
          </w:tcPr>
          <w:p w:rsidR="006457E1" w:rsidRPr="00751C14" w:rsidRDefault="006457E1" w:rsidP="00317BC6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51C14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30 zile consultanță </w:t>
            </w:r>
          </w:p>
        </w:tc>
      </w:tr>
    </w:tbl>
    <w:p w:rsidR="006457E1" w:rsidRDefault="006457E1" w:rsidP="00961BD0">
      <w:pPr>
        <w:ind w:firstLine="360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6457E1" w:rsidRDefault="006457E1" w:rsidP="00961BD0">
      <w:pPr>
        <w:ind w:firstLine="360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3E148C" w:rsidRPr="0047695D" w:rsidRDefault="00D363FC" w:rsidP="00961BD0">
      <w:pPr>
        <w:ind w:firstLine="36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47695D">
        <w:rPr>
          <w:rFonts w:ascii="Arial" w:hAnsi="Arial" w:cs="Arial"/>
          <w:b/>
          <w:sz w:val="22"/>
          <w:szCs w:val="22"/>
          <w:lang w:val="ro-RO"/>
        </w:rPr>
        <w:t>Produse finale:</w:t>
      </w:r>
    </w:p>
    <w:p w:rsidR="000B0E05" w:rsidRDefault="000B0E05" w:rsidP="00891314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ro-RO" w:eastAsia="ar-SA"/>
        </w:rPr>
      </w:pPr>
      <w:r>
        <w:rPr>
          <w:rFonts w:ascii="Arial" w:hAnsi="Arial" w:cs="Arial"/>
          <w:lang w:val="ro-RO" w:eastAsia="ar-SA"/>
        </w:rPr>
        <w:t xml:space="preserve">Document de analiză a riscurilor privind finanțarea serviciilor sociale </w:t>
      </w:r>
    </w:p>
    <w:p w:rsidR="00795927" w:rsidRDefault="009857A9" w:rsidP="00891314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ro-RO" w:eastAsia="ar-SA"/>
        </w:rPr>
      </w:pPr>
      <w:r>
        <w:rPr>
          <w:rFonts w:ascii="Arial" w:hAnsi="Arial" w:cs="Arial"/>
          <w:lang w:val="ro-RO" w:eastAsia="ar-SA"/>
        </w:rPr>
        <w:t>P</w:t>
      </w:r>
      <w:r w:rsidR="00795927">
        <w:rPr>
          <w:rFonts w:ascii="Arial" w:hAnsi="Arial" w:cs="Arial"/>
          <w:lang w:val="ro-RO" w:eastAsia="ar-SA"/>
        </w:rPr>
        <w:t xml:space="preserve">achetului </w:t>
      </w:r>
      <w:r>
        <w:rPr>
          <w:rFonts w:ascii="Arial" w:hAnsi="Arial" w:cs="Arial"/>
          <w:lang w:val="ro-RO" w:eastAsia="ar-SA"/>
        </w:rPr>
        <w:t xml:space="preserve">minim (critic) </w:t>
      </w:r>
      <w:r w:rsidR="00795927">
        <w:rPr>
          <w:rFonts w:ascii="Arial" w:hAnsi="Arial" w:cs="Arial"/>
          <w:lang w:val="ro-RO" w:eastAsia="ar-SA"/>
        </w:rPr>
        <w:t xml:space="preserve">de servicii </w:t>
      </w:r>
      <w:r>
        <w:rPr>
          <w:rFonts w:ascii="Arial" w:hAnsi="Arial" w:cs="Arial"/>
          <w:lang w:val="ro-RO" w:eastAsia="ar-SA"/>
        </w:rPr>
        <w:t>elaborat</w:t>
      </w:r>
      <w:r w:rsidR="00795927">
        <w:rPr>
          <w:rFonts w:ascii="Arial" w:hAnsi="Arial" w:cs="Arial"/>
          <w:lang w:val="ro-RO" w:eastAsia="ar-SA"/>
        </w:rPr>
        <w:t xml:space="preserve">; </w:t>
      </w:r>
    </w:p>
    <w:p w:rsidR="00835927" w:rsidRDefault="009857A9" w:rsidP="00891314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 w:eastAsia="ar-SA"/>
        </w:rPr>
        <w:t xml:space="preserve">Costurile pentru pachetul minim de </w:t>
      </w:r>
      <w:r w:rsidR="008C5675">
        <w:rPr>
          <w:rFonts w:ascii="Arial" w:hAnsi="Arial" w:cs="Arial"/>
          <w:lang w:val="ro-RO" w:eastAsia="ar-SA"/>
        </w:rPr>
        <w:t>servicii dezvoltate ș</w:t>
      </w:r>
      <w:r>
        <w:rPr>
          <w:rFonts w:ascii="Arial" w:hAnsi="Arial" w:cs="Arial"/>
          <w:lang w:val="ro-RO" w:eastAsia="ar-SA"/>
        </w:rPr>
        <w:t>i discutate în cadrul Gr</w:t>
      </w:r>
      <w:r w:rsidR="000B0E05">
        <w:rPr>
          <w:rFonts w:ascii="Arial" w:hAnsi="Arial" w:cs="Arial"/>
          <w:lang w:val="ro-RO" w:eastAsia="ar-SA"/>
        </w:rPr>
        <w:t xml:space="preserve">upului de lucru intersectorial; </w:t>
      </w:r>
    </w:p>
    <w:p w:rsidR="000B0E05" w:rsidRDefault="000B0E05" w:rsidP="00891314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 w:eastAsia="ar-SA"/>
        </w:rPr>
        <w:t xml:space="preserve">Instrucțiuni de elaborare a bugetelor instituțiilor rezidențiale în perioada de transformare de la servicii de tip rezidențiale la servicii comunitare.  </w:t>
      </w:r>
    </w:p>
    <w:p w:rsidR="00961BD0" w:rsidRDefault="00961BD0" w:rsidP="00961BD0">
      <w:pPr>
        <w:pStyle w:val="NoSpacing"/>
        <w:ind w:left="720"/>
        <w:jc w:val="both"/>
        <w:rPr>
          <w:rFonts w:ascii="Arial" w:hAnsi="Arial" w:cs="Arial"/>
          <w:lang w:val="ro-RO"/>
        </w:rPr>
      </w:pPr>
    </w:p>
    <w:p w:rsidR="00182CBA" w:rsidRDefault="00835927" w:rsidP="00961BD0">
      <w:pPr>
        <w:ind w:firstLine="360"/>
        <w:jc w:val="both"/>
        <w:rPr>
          <w:rFonts w:ascii="Arial" w:hAnsi="Arial" w:cs="Arial"/>
          <w:sz w:val="22"/>
          <w:szCs w:val="22"/>
          <w:lang w:val="ro-RO"/>
        </w:rPr>
      </w:pPr>
      <w:r w:rsidRPr="00AD5E51">
        <w:rPr>
          <w:rFonts w:ascii="Arial" w:hAnsi="Arial" w:cs="Arial"/>
          <w:b/>
          <w:sz w:val="22"/>
          <w:szCs w:val="22"/>
          <w:lang w:val="ro-RO"/>
        </w:rPr>
        <w:t>Cerințe de calificare</w:t>
      </w:r>
      <w:r>
        <w:rPr>
          <w:rFonts w:ascii="Arial" w:hAnsi="Arial" w:cs="Arial"/>
          <w:sz w:val="22"/>
          <w:szCs w:val="22"/>
          <w:lang w:val="ro-RO"/>
        </w:rPr>
        <w:t>:</w:t>
      </w:r>
    </w:p>
    <w:p w:rsidR="00835927" w:rsidRDefault="00566BCE" w:rsidP="00AD5E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Studii universitare sau postuniversitare </w:t>
      </w:r>
      <w:r w:rsidR="00835927">
        <w:rPr>
          <w:rFonts w:ascii="Arial" w:hAnsi="Arial" w:cs="Arial"/>
          <w:lang w:val="ro-RO"/>
        </w:rPr>
        <w:t>în domeniile</w:t>
      </w:r>
      <w:r w:rsidR="00DD6390">
        <w:rPr>
          <w:rFonts w:ascii="Arial" w:hAnsi="Arial" w:cs="Arial"/>
          <w:lang w:val="ro-RO"/>
        </w:rPr>
        <w:t xml:space="preserve"> finanțe publice, </w:t>
      </w:r>
      <w:r w:rsidR="00835927">
        <w:rPr>
          <w:rFonts w:ascii="Arial" w:hAnsi="Arial" w:cs="Arial"/>
          <w:lang w:val="ro-RO"/>
        </w:rPr>
        <w:t>științe economice,</w:t>
      </w:r>
      <w:r w:rsidR="00DD6390">
        <w:rPr>
          <w:rFonts w:ascii="Arial" w:hAnsi="Arial" w:cs="Arial"/>
          <w:lang w:val="ro-RO"/>
        </w:rPr>
        <w:t xml:space="preserve"> juridice, </w:t>
      </w:r>
      <w:r w:rsidR="0041570B">
        <w:rPr>
          <w:rFonts w:ascii="Arial" w:hAnsi="Arial" w:cs="Arial"/>
          <w:lang w:val="ro-RO"/>
        </w:rPr>
        <w:t>politice</w:t>
      </w:r>
    </w:p>
    <w:p w:rsidR="00835927" w:rsidRDefault="00835927" w:rsidP="00AD5E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Experiență de cel puțin </w:t>
      </w:r>
      <w:r w:rsidR="000B0E05">
        <w:rPr>
          <w:rFonts w:ascii="Arial" w:hAnsi="Arial" w:cs="Arial"/>
          <w:lang w:val="ro-RO"/>
        </w:rPr>
        <w:t>5</w:t>
      </w:r>
      <w:r>
        <w:rPr>
          <w:rFonts w:ascii="Arial" w:hAnsi="Arial" w:cs="Arial"/>
          <w:lang w:val="ro-RO"/>
        </w:rPr>
        <w:t xml:space="preserve"> ani în domeniul  </w:t>
      </w:r>
      <w:r w:rsidR="00DD6390">
        <w:rPr>
          <w:rFonts w:ascii="Arial" w:hAnsi="Arial" w:cs="Arial"/>
          <w:lang w:val="ro-RO"/>
        </w:rPr>
        <w:t>finanțelor publice</w:t>
      </w:r>
      <w:r w:rsidR="00566BCE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 </w:t>
      </w:r>
    </w:p>
    <w:p w:rsidR="00835927" w:rsidRDefault="00835927" w:rsidP="00AD5E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Capacități analitice dezvoltate și experiență în elaborarea </w:t>
      </w:r>
      <w:r w:rsidR="00566BCE">
        <w:rPr>
          <w:rFonts w:ascii="Arial" w:hAnsi="Arial" w:cs="Arial"/>
          <w:lang w:val="ro-RO"/>
        </w:rPr>
        <w:t xml:space="preserve">documentelor de analiză și elaborare </w:t>
      </w:r>
      <w:r w:rsidR="0041570B">
        <w:rPr>
          <w:rFonts w:ascii="Arial" w:hAnsi="Arial" w:cs="Arial"/>
          <w:lang w:val="ro-RO"/>
        </w:rPr>
        <w:t xml:space="preserve">a </w:t>
      </w:r>
      <w:r w:rsidR="00566BCE">
        <w:rPr>
          <w:rFonts w:ascii="Arial" w:hAnsi="Arial" w:cs="Arial"/>
          <w:lang w:val="ro-RO"/>
        </w:rPr>
        <w:t>propunerilor de modificare a actelor normative și legislative</w:t>
      </w:r>
    </w:p>
    <w:p w:rsidR="00835927" w:rsidRPr="008C164E" w:rsidRDefault="00835927" w:rsidP="00AD5E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o-RO"/>
        </w:rPr>
      </w:pPr>
      <w:r w:rsidRPr="008C164E">
        <w:rPr>
          <w:rFonts w:ascii="Arial" w:hAnsi="Arial" w:cs="Arial"/>
          <w:lang w:val="ro-RO"/>
        </w:rPr>
        <w:t xml:space="preserve">Experiență de comunicare  cu reprezentanții </w:t>
      </w:r>
      <w:r w:rsidR="00566BCE" w:rsidRPr="008C164E">
        <w:rPr>
          <w:rFonts w:ascii="Arial" w:hAnsi="Arial" w:cs="Arial"/>
          <w:lang w:val="ro-RO"/>
        </w:rPr>
        <w:t>autorităților publice centrale și locale, organizațiilor guvernamentale</w:t>
      </w:r>
      <w:r w:rsidR="008C164E" w:rsidRPr="008C164E">
        <w:rPr>
          <w:rFonts w:ascii="Arial" w:hAnsi="Arial" w:cs="Arial"/>
          <w:lang w:val="ro-RO"/>
        </w:rPr>
        <w:t xml:space="preserve">.  </w:t>
      </w:r>
    </w:p>
    <w:p w:rsidR="008C164E" w:rsidRDefault="008C164E" w:rsidP="00536409">
      <w:pPr>
        <w:pStyle w:val="ListParagraph"/>
        <w:jc w:val="both"/>
        <w:rPr>
          <w:rFonts w:ascii="Arial" w:hAnsi="Arial" w:cs="Arial"/>
          <w:b/>
          <w:lang w:val="ro-RO"/>
        </w:rPr>
      </w:pPr>
    </w:p>
    <w:p w:rsidR="00536409" w:rsidRDefault="000333E4" w:rsidP="00536409">
      <w:pPr>
        <w:pStyle w:val="ListParagraph"/>
        <w:jc w:val="both"/>
        <w:rPr>
          <w:rFonts w:ascii="Arial" w:hAnsi="Arial" w:cs="Arial"/>
          <w:b/>
          <w:lang w:val="ro-RO"/>
        </w:rPr>
      </w:pPr>
      <w:r w:rsidRPr="000333E4">
        <w:rPr>
          <w:rFonts w:ascii="Arial" w:hAnsi="Arial" w:cs="Arial"/>
          <w:b/>
          <w:lang w:val="ro-RO"/>
        </w:rPr>
        <w:t>Procedura de aplicare</w:t>
      </w:r>
      <w:r>
        <w:rPr>
          <w:rFonts w:ascii="Arial" w:hAnsi="Arial" w:cs="Arial"/>
          <w:b/>
          <w:lang w:val="ro-RO"/>
        </w:rPr>
        <w:t xml:space="preserve">: </w:t>
      </w:r>
    </w:p>
    <w:p w:rsidR="000333E4" w:rsidRPr="00536409" w:rsidRDefault="000333E4" w:rsidP="00536409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36409">
        <w:rPr>
          <w:rFonts w:ascii="Arial" w:hAnsi="Arial" w:cs="Arial"/>
          <w:sz w:val="22"/>
          <w:szCs w:val="22"/>
          <w:lang w:val="ro-RO"/>
        </w:rPr>
        <w:t xml:space="preserve">Persoanele interesate sunt încurajate să trimită dosarul, care să conțină: </w:t>
      </w:r>
      <w:r w:rsidRPr="00536409">
        <w:rPr>
          <w:rFonts w:ascii="Arial" w:hAnsi="Arial" w:cs="Arial"/>
          <w:b/>
          <w:sz w:val="22"/>
          <w:szCs w:val="22"/>
          <w:u w:val="single"/>
          <w:lang w:val="ro-RO"/>
        </w:rPr>
        <w:t>CV-ul</w:t>
      </w:r>
      <w:r w:rsidRPr="00536409">
        <w:rPr>
          <w:rFonts w:ascii="Arial" w:hAnsi="Arial" w:cs="Arial"/>
          <w:sz w:val="22"/>
          <w:szCs w:val="22"/>
          <w:lang w:val="ro-RO"/>
        </w:rPr>
        <w:t xml:space="preserve"> cu descrierea experienței relevante</w:t>
      </w:r>
      <w:r w:rsidR="00B15DB3">
        <w:rPr>
          <w:rFonts w:ascii="Arial" w:hAnsi="Arial" w:cs="Arial"/>
          <w:sz w:val="22"/>
          <w:szCs w:val="22"/>
          <w:lang w:val="ro-RO"/>
        </w:rPr>
        <w:t>, datele de contact a 2 persoane de referință</w:t>
      </w:r>
      <w:r w:rsidRPr="00536409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36409">
        <w:rPr>
          <w:rFonts w:ascii="Arial" w:hAnsi="Arial" w:cs="Arial"/>
          <w:b/>
          <w:sz w:val="22"/>
          <w:szCs w:val="22"/>
          <w:u w:val="single"/>
          <w:lang w:val="ro-RO"/>
        </w:rPr>
        <w:t>propunerea financiară</w:t>
      </w:r>
      <w:r w:rsidRPr="00536409">
        <w:rPr>
          <w:rFonts w:ascii="Arial" w:hAnsi="Arial" w:cs="Arial"/>
          <w:sz w:val="22"/>
          <w:szCs w:val="22"/>
          <w:lang w:val="ro-RO"/>
        </w:rPr>
        <w:t xml:space="preserve"> (costul unei zile de lucru).</w:t>
      </w:r>
    </w:p>
    <w:p w:rsidR="000333E4" w:rsidRPr="000333E4" w:rsidRDefault="000333E4" w:rsidP="00536409">
      <w:pPr>
        <w:ind w:left="360"/>
        <w:jc w:val="both"/>
        <w:rPr>
          <w:rFonts w:ascii="Arial" w:hAnsi="Arial" w:cs="Arial"/>
          <w:sz w:val="22"/>
          <w:szCs w:val="22"/>
          <w:lang w:val="ro-RO"/>
        </w:rPr>
      </w:pPr>
      <w:r w:rsidRPr="000333E4">
        <w:rPr>
          <w:rFonts w:ascii="Arial" w:hAnsi="Arial" w:cs="Arial"/>
          <w:sz w:val="22"/>
          <w:szCs w:val="22"/>
          <w:lang w:val="ro-RO"/>
        </w:rPr>
        <w:t> </w:t>
      </w:r>
    </w:p>
    <w:p w:rsidR="000333E4" w:rsidRPr="000333E4" w:rsidRDefault="000333E4" w:rsidP="00536409">
      <w:pPr>
        <w:jc w:val="both"/>
        <w:rPr>
          <w:rFonts w:ascii="Arial" w:hAnsi="Arial" w:cs="Arial"/>
          <w:sz w:val="22"/>
          <w:szCs w:val="22"/>
          <w:lang w:val="ro-RO"/>
        </w:rPr>
      </w:pPr>
      <w:r w:rsidRPr="000333E4">
        <w:rPr>
          <w:rFonts w:ascii="Arial" w:hAnsi="Arial" w:cs="Arial"/>
          <w:sz w:val="22"/>
          <w:szCs w:val="22"/>
          <w:lang w:val="ro-RO"/>
        </w:rPr>
        <w:t xml:space="preserve">Vă rugăm să trimiteți dosarul la: </w:t>
      </w:r>
      <w:hyperlink r:id="rId8" w:history="1">
        <w:r w:rsidRPr="000333E4">
          <w:rPr>
            <w:rStyle w:val="Hyperlink"/>
            <w:rFonts w:ascii="Arial" w:hAnsi="Arial" w:cs="Arial"/>
            <w:sz w:val="22"/>
            <w:szCs w:val="22"/>
            <w:lang w:val="ro-RO"/>
          </w:rPr>
          <w:t>khsima@keystonehumanservices.org</w:t>
        </w:r>
      </w:hyperlink>
      <w:r w:rsidRPr="000333E4">
        <w:rPr>
          <w:rFonts w:ascii="Arial" w:hAnsi="Arial" w:cs="Arial"/>
          <w:sz w:val="22"/>
          <w:szCs w:val="22"/>
          <w:lang w:val="ro-RO"/>
        </w:rPr>
        <w:t xml:space="preserve"> cu mențiunea „</w:t>
      </w:r>
      <w:r w:rsidRPr="008C164E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Consultant </w:t>
      </w:r>
      <w:r w:rsidR="00B15DB3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în domeniul </w:t>
      </w:r>
      <w:r w:rsidRPr="008C164E">
        <w:rPr>
          <w:rFonts w:ascii="Arial" w:hAnsi="Arial" w:cs="Arial"/>
          <w:b/>
          <w:sz w:val="22"/>
          <w:szCs w:val="22"/>
          <w:u w:val="single"/>
          <w:lang w:val="ro-RO"/>
        </w:rPr>
        <w:t>finanțe</w:t>
      </w:r>
      <w:r w:rsidR="00B15DB3">
        <w:rPr>
          <w:rFonts w:ascii="Arial" w:hAnsi="Arial" w:cs="Arial"/>
          <w:b/>
          <w:sz w:val="22"/>
          <w:szCs w:val="22"/>
          <w:u w:val="single"/>
          <w:lang w:val="ro-RO"/>
        </w:rPr>
        <w:t>lor</w:t>
      </w:r>
      <w:r w:rsidRPr="008C164E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publice</w:t>
      </w:r>
      <w:r w:rsidRPr="000333E4">
        <w:rPr>
          <w:rFonts w:ascii="Arial" w:hAnsi="Arial" w:cs="Arial"/>
          <w:sz w:val="22"/>
          <w:szCs w:val="22"/>
          <w:lang w:val="ro-RO"/>
        </w:rPr>
        <w:t>” până la data de </w:t>
      </w:r>
      <w:r w:rsidR="00D02F16">
        <w:rPr>
          <w:rFonts w:ascii="Arial" w:hAnsi="Arial" w:cs="Arial"/>
          <w:b/>
          <w:sz w:val="22"/>
          <w:szCs w:val="22"/>
          <w:u w:val="single"/>
          <w:lang w:val="ro-RO"/>
        </w:rPr>
        <w:t>25</w:t>
      </w:r>
      <w:r w:rsidRPr="000333E4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</w:t>
      </w:r>
      <w:r w:rsidR="000B0E05">
        <w:rPr>
          <w:rFonts w:ascii="Arial" w:hAnsi="Arial" w:cs="Arial"/>
          <w:b/>
          <w:sz w:val="22"/>
          <w:szCs w:val="22"/>
          <w:u w:val="single"/>
          <w:lang w:val="ro-RO"/>
        </w:rPr>
        <w:t>Iunie</w:t>
      </w:r>
      <w:r w:rsidRPr="000333E4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2016.</w:t>
      </w:r>
      <w:r w:rsidRPr="000333E4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0333E4" w:rsidRPr="000333E4" w:rsidRDefault="000333E4" w:rsidP="00536409">
      <w:pPr>
        <w:ind w:left="360"/>
        <w:jc w:val="both"/>
        <w:rPr>
          <w:rFonts w:ascii="Arial" w:hAnsi="Arial" w:cs="Arial"/>
          <w:sz w:val="22"/>
          <w:szCs w:val="22"/>
          <w:lang w:val="ro-RO"/>
        </w:rPr>
      </w:pPr>
      <w:r w:rsidRPr="000333E4">
        <w:rPr>
          <w:rFonts w:ascii="Arial" w:hAnsi="Arial" w:cs="Arial"/>
          <w:sz w:val="22"/>
          <w:szCs w:val="22"/>
          <w:lang w:val="ro-RO"/>
        </w:rPr>
        <w:t> </w:t>
      </w:r>
    </w:p>
    <w:p w:rsidR="00873EBA" w:rsidRDefault="00873EBA" w:rsidP="00536409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536409" w:rsidRPr="00536409" w:rsidRDefault="000333E4" w:rsidP="00536409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36409">
        <w:rPr>
          <w:rFonts w:ascii="Arial" w:hAnsi="Arial" w:cs="Arial"/>
          <w:sz w:val="22"/>
          <w:szCs w:val="22"/>
          <w:lang w:val="ro-RO"/>
        </w:rPr>
        <w:t xml:space="preserve">Pentru mai multe informații despre activitățile </w:t>
      </w:r>
      <w:r w:rsidR="00536409">
        <w:rPr>
          <w:rFonts w:ascii="Arial" w:hAnsi="Arial" w:cs="Arial"/>
          <w:sz w:val="22"/>
          <w:szCs w:val="22"/>
          <w:lang w:val="ro-RO"/>
        </w:rPr>
        <w:t xml:space="preserve">Keystone Moldova </w:t>
      </w:r>
      <w:r w:rsidRPr="00536409">
        <w:rPr>
          <w:rFonts w:ascii="Arial" w:hAnsi="Arial" w:cs="Arial"/>
          <w:sz w:val="22"/>
          <w:szCs w:val="22"/>
          <w:lang w:val="ro-RO"/>
        </w:rPr>
        <w:t xml:space="preserve">vă rugăm să accesați site-ul </w:t>
      </w:r>
      <w:hyperlink r:id="rId9" w:history="1">
        <w:r w:rsidR="00536409" w:rsidRPr="004F0E8C">
          <w:rPr>
            <w:rStyle w:val="Hyperlink"/>
            <w:rFonts w:ascii="Arial" w:hAnsi="Arial" w:cs="Arial"/>
            <w:sz w:val="22"/>
            <w:szCs w:val="22"/>
            <w:lang w:val="ro-RO"/>
          </w:rPr>
          <w:t>www.keystonemoldova.md</w:t>
        </w:r>
      </w:hyperlink>
      <w:r w:rsidR="00CC1534">
        <w:rPr>
          <w:rStyle w:val="Hyperlink"/>
          <w:rFonts w:ascii="Arial" w:hAnsi="Arial" w:cs="Arial"/>
          <w:sz w:val="22"/>
          <w:szCs w:val="22"/>
          <w:lang w:val="ro-RO"/>
        </w:rPr>
        <w:t xml:space="preserve">. </w:t>
      </w:r>
    </w:p>
    <w:sectPr w:rsidR="00536409" w:rsidRPr="00536409" w:rsidSect="00536409">
      <w:pgSz w:w="12240" w:h="15840"/>
      <w:pgMar w:top="1170" w:right="108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684D"/>
    <w:multiLevelType w:val="hybridMultilevel"/>
    <w:tmpl w:val="3E72E97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4460631"/>
    <w:multiLevelType w:val="hybridMultilevel"/>
    <w:tmpl w:val="5D70E54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B4B0E"/>
    <w:multiLevelType w:val="hybridMultilevel"/>
    <w:tmpl w:val="B0D2DA32"/>
    <w:lvl w:ilvl="0" w:tplc="39C2199E">
      <w:start w:val="1"/>
      <w:numFmt w:val="decimal"/>
      <w:lvlText w:val="%1.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F65C0E"/>
    <w:multiLevelType w:val="hybridMultilevel"/>
    <w:tmpl w:val="E3107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A2768"/>
    <w:multiLevelType w:val="hybridMultilevel"/>
    <w:tmpl w:val="0866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537C2"/>
    <w:multiLevelType w:val="hybridMultilevel"/>
    <w:tmpl w:val="F9A4A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44747"/>
    <w:multiLevelType w:val="hybridMultilevel"/>
    <w:tmpl w:val="8358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84A04"/>
    <w:multiLevelType w:val="hybridMultilevel"/>
    <w:tmpl w:val="A368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56"/>
    <w:rsid w:val="000333E4"/>
    <w:rsid w:val="0003391D"/>
    <w:rsid w:val="000622F3"/>
    <w:rsid w:val="0006309C"/>
    <w:rsid w:val="000B0E05"/>
    <w:rsid w:val="001318C3"/>
    <w:rsid w:val="00134B89"/>
    <w:rsid w:val="0017473A"/>
    <w:rsid w:val="00182CBA"/>
    <w:rsid w:val="00196C95"/>
    <w:rsid w:val="001D29A6"/>
    <w:rsid w:val="001D3A35"/>
    <w:rsid w:val="0020662D"/>
    <w:rsid w:val="00256CA6"/>
    <w:rsid w:val="00257770"/>
    <w:rsid w:val="002F4A5D"/>
    <w:rsid w:val="00325AE1"/>
    <w:rsid w:val="00344025"/>
    <w:rsid w:val="0039287C"/>
    <w:rsid w:val="003B683F"/>
    <w:rsid w:val="003E148C"/>
    <w:rsid w:val="003E6DB4"/>
    <w:rsid w:val="0041570B"/>
    <w:rsid w:val="0047695D"/>
    <w:rsid w:val="00486ECC"/>
    <w:rsid w:val="00495884"/>
    <w:rsid w:val="004961BB"/>
    <w:rsid w:val="004E2961"/>
    <w:rsid w:val="00500E7A"/>
    <w:rsid w:val="00520AAD"/>
    <w:rsid w:val="00536409"/>
    <w:rsid w:val="00566BCE"/>
    <w:rsid w:val="0057071B"/>
    <w:rsid w:val="005951EE"/>
    <w:rsid w:val="005A6E16"/>
    <w:rsid w:val="005E7F23"/>
    <w:rsid w:val="00610F72"/>
    <w:rsid w:val="00611089"/>
    <w:rsid w:val="00636E04"/>
    <w:rsid w:val="006457E1"/>
    <w:rsid w:val="006C26D3"/>
    <w:rsid w:val="006E44C0"/>
    <w:rsid w:val="00755255"/>
    <w:rsid w:val="0076566F"/>
    <w:rsid w:val="00776914"/>
    <w:rsid w:val="00795927"/>
    <w:rsid w:val="007C29A7"/>
    <w:rsid w:val="00835927"/>
    <w:rsid w:val="008543DD"/>
    <w:rsid w:val="00873EBA"/>
    <w:rsid w:val="008876BB"/>
    <w:rsid w:val="00891314"/>
    <w:rsid w:val="00892728"/>
    <w:rsid w:val="0089721D"/>
    <w:rsid w:val="008C164E"/>
    <w:rsid w:val="008C5675"/>
    <w:rsid w:val="00932053"/>
    <w:rsid w:val="00942441"/>
    <w:rsid w:val="00947701"/>
    <w:rsid w:val="00961BD0"/>
    <w:rsid w:val="009857A9"/>
    <w:rsid w:val="009B1607"/>
    <w:rsid w:val="00A84EFE"/>
    <w:rsid w:val="00AD43E8"/>
    <w:rsid w:val="00AD5E51"/>
    <w:rsid w:val="00AF21B5"/>
    <w:rsid w:val="00AF2334"/>
    <w:rsid w:val="00B12F29"/>
    <w:rsid w:val="00B15DB3"/>
    <w:rsid w:val="00BB6734"/>
    <w:rsid w:val="00BC6CB6"/>
    <w:rsid w:val="00BD4B79"/>
    <w:rsid w:val="00C35B90"/>
    <w:rsid w:val="00C94011"/>
    <w:rsid w:val="00CC1534"/>
    <w:rsid w:val="00CE013B"/>
    <w:rsid w:val="00D02F16"/>
    <w:rsid w:val="00D363FC"/>
    <w:rsid w:val="00D3703B"/>
    <w:rsid w:val="00DA60D8"/>
    <w:rsid w:val="00DD11DE"/>
    <w:rsid w:val="00DD4A17"/>
    <w:rsid w:val="00DD6390"/>
    <w:rsid w:val="00E20FB9"/>
    <w:rsid w:val="00E72C52"/>
    <w:rsid w:val="00E923BB"/>
    <w:rsid w:val="00E94992"/>
    <w:rsid w:val="00F16E2C"/>
    <w:rsid w:val="00F217E4"/>
    <w:rsid w:val="00F45B76"/>
    <w:rsid w:val="00F46570"/>
    <w:rsid w:val="00F65956"/>
    <w:rsid w:val="00FC7E97"/>
    <w:rsid w:val="00FD7D73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D363F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3DD"/>
    <w:rPr>
      <w:rFonts w:ascii="Tahoma" w:eastAsia="SimSun" w:hAnsi="Tahoma" w:cs="Tahoma"/>
      <w:sz w:val="16"/>
      <w:szCs w:val="16"/>
      <w:lang w:val="ru-RU" w:eastAsia="zh-CN"/>
    </w:rPr>
  </w:style>
  <w:style w:type="paragraph" w:customStyle="1" w:styleId="SingleTxtG">
    <w:name w:val="_ Single Txt_G"/>
    <w:basedOn w:val="Normal"/>
    <w:link w:val="SingleTxtGChar"/>
    <w:rsid w:val="00F16E2C"/>
    <w:pP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lang w:val="x-none" w:eastAsia="en-US"/>
    </w:rPr>
  </w:style>
  <w:style w:type="character" w:customStyle="1" w:styleId="SingleTxtGChar">
    <w:name w:val="_ Single Txt_G Char"/>
    <w:link w:val="SingleTxtG"/>
    <w:rsid w:val="00F16E2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Strong">
    <w:name w:val="Strong"/>
    <w:basedOn w:val="DefaultParagraphFont"/>
    <w:uiPriority w:val="22"/>
    <w:qFormat/>
    <w:rsid w:val="000333E4"/>
    <w:rPr>
      <w:b/>
      <w:bCs/>
    </w:rPr>
  </w:style>
  <w:style w:type="character" w:customStyle="1" w:styleId="apple-converted-space">
    <w:name w:val="apple-converted-space"/>
    <w:basedOn w:val="DefaultParagraphFont"/>
    <w:rsid w:val="000333E4"/>
  </w:style>
  <w:style w:type="character" w:styleId="Hyperlink">
    <w:name w:val="Hyperlink"/>
    <w:basedOn w:val="DefaultParagraphFont"/>
    <w:uiPriority w:val="99"/>
    <w:unhideWhenUsed/>
    <w:rsid w:val="000333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D363F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3DD"/>
    <w:rPr>
      <w:rFonts w:ascii="Tahoma" w:eastAsia="SimSun" w:hAnsi="Tahoma" w:cs="Tahoma"/>
      <w:sz w:val="16"/>
      <w:szCs w:val="16"/>
      <w:lang w:val="ru-RU" w:eastAsia="zh-CN"/>
    </w:rPr>
  </w:style>
  <w:style w:type="paragraph" w:customStyle="1" w:styleId="SingleTxtG">
    <w:name w:val="_ Single Txt_G"/>
    <w:basedOn w:val="Normal"/>
    <w:link w:val="SingleTxtGChar"/>
    <w:rsid w:val="00F16E2C"/>
    <w:pP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lang w:val="x-none" w:eastAsia="en-US"/>
    </w:rPr>
  </w:style>
  <w:style w:type="character" w:customStyle="1" w:styleId="SingleTxtGChar">
    <w:name w:val="_ Single Txt_G Char"/>
    <w:link w:val="SingleTxtG"/>
    <w:rsid w:val="00F16E2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Strong">
    <w:name w:val="Strong"/>
    <w:basedOn w:val="DefaultParagraphFont"/>
    <w:uiPriority w:val="22"/>
    <w:qFormat/>
    <w:rsid w:val="000333E4"/>
    <w:rPr>
      <w:b/>
      <w:bCs/>
    </w:rPr>
  </w:style>
  <w:style w:type="character" w:customStyle="1" w:styleId="apple-converted-space">
    <w:name w:val="apple-converted-space"/>
    <w:basedOn w:val="DefaultParagraphFont"/>
    <w:rsid w:val="000333E4"/>
  </w:style>
  <w:style w:type="character" w:styleId="Hyperlink">
    <w:name w:val="Hyperlink"/>
    <w:basedOn w:val="DefaultParagraphFont"/>
    <w:uiPriority w:val="99"/>
    <w:unhideWhenUsed/>
    <w:rsid w:val="000333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sima@keystonehumanservices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eystonemoldova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83AF-6AD2-44AA-9114-6EDCCB4E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Ciocan</dc:creator>
  <cp:lastModifiedBy>Keystone</cp:lastModifiedBy>
  <cp:revision>16</cp:revision>
  <cp:lastPrinted>2015-10-19T10:49:00Z</cp:lastPrinted>
  <dcterms:created xsi:type="dcterms:W3CDTF">2016-06-09T20:53:00Z</dcterms:created>
  <dcterms:modified xsi:type="dcterms:W3CDTF">2016-06-10T07:10:00Z</dcterms:modified>
</cp:coreProperties>
</file>